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2180" w14:textId="587973B0" w:rsidR="00EA0BC9" w:rsidRPr="00EA0BC9" w:rsidRDefault="00EA0BC9" w:rsidP="00EA0BC9">
      <w:pPr>
        <w:rPr>
          <w:rFonts w:ascii="Tahoma" w:hAnsi="Tahoma" w:cs="Tahoma"/>
          <w:b/>
          <w:bCs/>
          <w:sz w:val="28"/>
          <w:szCs w:val="28"/>
        </w:rPr>
      </w:pPr>
      <w:r w:rsidRPr="00EA0BC9">
        <w:rPr>
          <w:rFonts w:ascii="Tahoma" w:hAnsi="Tahoma" w:cs="Tahoma"/>
          <w:b/>
          <w:bCs/>
          <w:sz w:val="28"/>
          <w:szCs w:val="28"/>
        </w:rPr>
        <w:t xml:space="preserve">Executive Summary Report on School Risk Management and Insurance </w:t>
      </w:r>
    </w:p>
    <w:p w14:paraId="69C7F7ED" w14:textId="77777777" w:rsidR="00EA0BC9" w:rsidRPr="00EA0BC9" w:rsidRDefault="00EA0BC9" w:rsidP="00EA0BC9">
      <w:pPr>
        <w:jc w:val="both"/>
        <w:rPr>
          <w:rFonts w:ascii="Tahoma" w:hAnsi="Tahoma" w:cs="Tahoma"/>
          <w:sz w:val="24"/>
          <w:szCs w:val="24"/>
        </w:rPr>
      </w:pPr>
      <w:r w:rsidRPr="00EA0BC9">
        <w:rPr>
          <w:rFonts w:ascii="Tahoma" w:hAnsi="Tahoma" w:cs="Tahoma"/>
          <w:sz w:val="24"/>
          <w:szCs w:val="24"/>
        </w:rPr>
        <w:t xml:space="preserve">The recent surge in school disasters, particularly fires, highlights a critical vulnerability within Kenya's education system. Between January and September 2024, the Ministry of Education recorded 107 school fire incidents, including the tragic event at Hillside </w:t>
      </w:r>
      <w:proofErr w:type="spellStart"/>
      <w:r w:rsidRPr="00EA0BC9">
        <w:rPr>
          <w:rFonts w:ascii="Tahoma" w:hAnsi="Tahoma" w:cs="Tahoma"/>
          <w:sz w:val="24"/>
          <w:szCs w:val="24"/>
        </w:rPr>
        <w:t>Endarasha</w:t>
      </w:r>
      <w:proofErr w:type="spellEnd"/>
      <w:r w:rsidRPr="00EA0BC9">
        <w:rPr>
          <w:rFonts w:ascii="Tahoma" w:hAnsi="Tahoma" w:cs="Tahoma"/>
          <w:sz w:val="24"/>
          <w:szCs w:val="24"/>
        </w:rPr>
        <w:t xml:space="preserve"> Academy, which resulted in 21 fatalities. These events underscore a significant gap in risk preparedness and financial resilience across the country’s learning institutions.</w:t>
      </w:r>
    </w:p>
    <w:p w14:paraId="377F236D" w14:textId="5D65404E" w:rsidR="00EA0BC9" w:rsidRPr="00EA0BC9" w:rsidRDefault="00EA0BC9" w:rsidP="00EA0BC9">
      <w:pPr>
        <w:jc w:val="both"/>
        <w:rPr>
          <w:rFonts w:ascii="Tahoma" w:hAnsi="Tahoma" w:cs="Tahoma"/>
          <w:sz w:val="24"/>
          <w:szCs w:val="24"/>
        </w:rPr>
      </w:pPr>
      <w:r w:rsidRPr="00EA0BC9">
        <w:rPr>
          <w:rFonts w:ascii="Tahoma" w:hAnsi="Tahoma" w:cs="Tahoma"/>
          <w:sz w:val="24"/>
          <w:szCs w:val="24"/>
        </w:rPr>
        <w:t xml:space="preserve">A recent analysis by the Association of Kenya Insurers (AKI) found that of the 46,322 primary and secondary schools in Kenya, only </w:t>
      </w:r>
      <w:r w:rsidRPr="00EA0BC9">
        <w:rPr>
          <w:rFonts w:ascii="Tahoma" w:hAnsi="Tahoma" w:cs="Tahoma"/>
          <w:b/>
          <w:bCs/>
          <w:sz w:val="24"/>
          <w:szCs w:val="24"/>
        </w:rPr>
        <w:t>14.6% are insured</w:t>
      </w:r>
      <w:r w:rsidRPr="00EA0BC9">
        <w:rPr>
          <w:rFonts w:ascii="Tahoma" w:hAnsi="Tahoma" w:cs="Tahoma"/>
          <w:sz w:val="24"/>
          <w:szCs w:val="24"/>
        </w:rPr>
        <w:t xml:space="preserve"> with non-motor policies. This leaves over 85% of schools financially exposed to losses from fires, accidents, theft, and other perils. The current situation places the financial burden of recovery squarely on parents, communities, </w:t>
      </w:r>
      <w:r w:rsidR="00EC1EF5">
        <w:rPr>
          <w:rFonts w:ascii="Tahoma" w:hAnsi="Tahoma" w:cs="Tahoma"/>
          <w:sz w:val="24"/>
          <w:szCs w:val="24"/>
        </w:rPr>
        <w:t xml:space="preserve">well wishers, </w:t>
      </w:r>
      <w:r w:rsidRPr="00EA0BC9">
        <w:rPr>
          <w:rFonts w:ascii="Tahoma" w:hAnsi="Tahoma" w:cs="Tahoma"/>
          <w:sz w:val="24"/>
          <w:szCs w:val="24"/>
        </w:rPr>
        <w:t>and the government.</w:t>
      </w:r>
    </w:p>
    <w:p w14:paraId="237EEEC1" w14:textId="77777777" w:rsidR="00EA0BC9" w:rsidRPr="00EA0BC9" w:rsidRDefault="00000000" w:rsidP="00EA0BC9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C815924">
          <v:rect id="_x0000_i1025" style="width:0;height:1.5pt" o:hralign="center" o:hrstd="t" o:hrnoshade="t" o:hr="t" fillcolor="#1b1c1d" stroked="f"/>
        </w:pict>
      </w:r>
    </w:p>
    <w:p w14:paraId="579A3A01" w14:textId="77777777" w:rsidR="00EA0BC9" w:rsidRPr="00EA0BC9" w:rsidRDefault="00EA0BC9" w:rsidP="00EA0BC9">
      <w:pPr>
        <w:rPr>
          <w:rFonts w:ascii="Tahoma" w:hAnsi="Tahoma" w:cs="Tahoma"/>
          <w:b/>
          <w:bCs/>
        </w:rPr>
      </w:pPr>
      <w:r w:rsidRPr="00EA0BC9">
        <w:rPr>
          <w:rFonts w:ascii="Tahoma" w:hAnsi="Tahoma" w:cs="Tahoma"/>
          <w:b/>
          <w:bCs/>
        </w:rPr>
        <w:t>Key Findings</w:t>
      </w:r>
    </w:p>
    <w:p w14:paraId="52B014AD" w14:textId="76EA2BA6" w:rsidR="00EA0BC9" w:rsidRPr="00EA0BC9" w:rsidRDefault="00EA0BC9" w:rsidP="00EA0BC9">
      <w:pPr>
        <w:numPr>
          <w:ilvl w:val="0"/>
          <w:numId w:val="1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Low Insurance Uptake:</w:t>
      </w:r>
      <w:r w:rsidRPr="00EA0BC9">
        <w:rPr>
          <w:rFonts w:ascii="Tahoma" w:hAnsi="Tahoma" w:cs="Tahoma"/>
        </w:rPr>
        <w:t xml:space="preserve"> </w:t>
      </w:r>
      <w:r w:rsidR="00EC1EF5">
        <w:rPr>
          <w:rFonts w:ascii="Tahoma" w:hAnsi="Tahoma" w:cs="Tahoma"/>
        </w:rPr>
        <w:t>Less</w:t>
      </w:r>
      <w:r w:rsidRPr="00EA0BC9">
        <w:rPr>
          <w:rFonts w:ascii="Tahoma" w:hAnsi="Tahoma" w:cs="Tahoma"/>
        </w:rPr>
        <w:t xml:space="preserve"> than 15% of schools have non-motor insurance, despite the availability of affordable, tailored products.</w:t>
      </w:r>
    </w:p>
    <w:p w14:paraId="0F62E219" w14:textId="162C14C0" w:rsidR="00EA0BC9" w:rsidRPr="00EC1EF5" w:rsidRDefault="00EA0BC9" w:rsidP="00EC1EF5">
      <w:pPr>
        <w:numPr>
          <w:ilvl w:val="0"/>
          <w:numId w:val="1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Primary Barriers to Uptake:</w:t>
      </w:r>
    </w:p>
    <w:p w14:paraId="5F888D4E" w14:textId="376850BC" w:rsidR="00EA0BC9" w:rsidRPr="00EA0BC9" w:rsidRDefault="00EA0BC9" w:rsidP="00EA0BC9">
      <w:pPr>
        <w:numPr>
          <w:ilvl w:val="1"/>
          <w:numId w:val="1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Low Awareness:</w:t>
      </w:r>
      <w:r w:rsidRPr="00EA0BC9">
        <w:rPr>
          <w:rFonts w:ascii="Tahoma" w:hAnsi="Tahoma" w:cs="Tahoma"/>
        </w:rPr>
        <w:t xml:space="preserve"> School administrators and boards often view insurance as a non-essential cost rather than a vital risk transfer mechanism, assuming the government or parents will </w:t>
      </w:r>
      <w:r w:rsidR="00EC1EF5">
        <w:rPr>
          <w:rFonts w:ascii="Tahoma" w:hAnsi="Tahoma" w:cs="Tahoma"/>
        </w:rPr>
        <w:t xml:space="preserve">step in in the event of an accident. </w:t>
      </w:r>
    </w:p>
    <w:p w14:paraId="14A1DA55" w14:textId="77777777" w:rsidR="00EA0BC9" w:rsidRPr="00EA0BC9" w:rsidRDefault="00EA0BC9" w:rsidP="00EA0BC9">
      <w:pPr>
        <w:numPr>
          <w:ilvl w:val="1"/>
          <w:numId w:val="1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Budgetary Constraints:</w:t>
      </w:r>
      <w:r w:rsidRPr="00EA0BC9">
        <w:rPr>
          <w:rFonts w:ascii="Tahoma" w:hAnsi="Tahoma" w:cs="Tahoma"/>
        </w:rPr>
        <w:t xml:space="preserve"> Public schools</w:t>
      </w:r>
      <w:proofErr w:type="gramStart"/>
      <w:r w:rsidRPr="00EA0BC9">
        <w:rPr>
          <w:rFonts w:ascii="Tahoma" w:hAnsi="Tahoma" w:cs="Tahoma"/>
        </w:rPr>
        <w:t>, in particular, face</w:t>
      </w:r>
      <w:proofErr w:type="gramEnd"/>
      <w:r w:rsidRPr="00EA0BC9">
        <w:rPr>
          <w:rFonts w:ascii="Tahoma" w:hAnsi="Tahoma" w:cs="Tahoma"/>
        </w:rPr>
        <w:t xml:space="preserve"> tight budgets with no dedicated funds for insurance, while private schools may experience cash flow issues.</w:t>
      </w:r>
    </w:p>
    <w:p w14:paraId="20419F0F" w14:textId="77777777" w:rsidR="00EA0BC9" w:rsidRPr="00EA0BC9" w:rsidRDefault="00EA0BC9" w:rsidP="00EA0BC9">
      <w:pPr>
        <w:numPr>
          <w:ilvl w:val="1"/>
          <w:numId w:val="1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Regulatory Gaps:</w:t>
      </w:r>
      <w:r w:rsidRPr="00EA0BC9">
        <w:rPr>
          <w:rFonts w:ascii="Tahoma" w:hAnsi="Tahoma" w:cs="Tahoma"/>
        </w:rPr>
        <w:t xml:space="preserve"> Current policies lack a strong mandate for financial risk protection, focusing more on general safety guidelines.</w:t>
      </w:r>
    </w:p>
    <w:p w14:paraId="107FD46D" w14:textId="77777777" w:rsidR="00EA0BC9" w:rsidRPr="00EA0BC9" w:rsidRDefault="00000000" w:rsidP="00EA0BC9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9457C8B">
          <v:rect id="_x0000_i1026" style="width:0;height:1.5pt" o:hralign="center" o:hrstd="t" o:hrnoshade="t" o:hr="t" fillcolor="#1b1c1d" stroked="f"/>
        </w:pict>
      </w:r>
    </w:p>
    <w:p w14:paraId="13050223" w14:textId="2B1B59AB" w:rsidR="00EA0BC9" w:rsidRPr="00EA0BC9" w:rsidRDefault="00EA0BC9" w:rsidP="00EA0BC9">
      <w:pPr>
        <w:rPr>
          <w:rFonts w:ascii="Tahoma" w:hAnsi="Tahoma" w:cs="Tahoma"/>
          <w:b/>
          <w:bCs/>
        </w:rPr>
      </w:pPr>
      <w:r w:rsidRPr="00EA0BC9">
        <w:rPr>
          <w:rFonts w:ascii="Tahoma" w:hAnsi="Tahoma" w:cs="Tahoma"/>
          <w:b/>
          <w:bCs/>
        </w:rPr>
        <w:t>Collaborative Policy Action</w:t>
      </w:r>
    </w:p>
    <w:p w14:paraId="422FB675" w14:textId="0FA6CEF3" w:rsidR="00EA0BC9" w:rsidRPr="00EA0BC9" w:rsidRDefault="00EA0BC9" w:rsidP="00EA0BC9">
      <w:pPr>
        <w:rPr>
          <w:rFonts w:ascii="Tahoma" w:hAnsi="Tahoma" w:cs="Tahoma"/>
        </w:rPr>
      </w:pPr>
      <w:r w:rsidRPr="00EA0BC9">
        <w:rPr>
          <w:rFonts w:ascii="Tahoma" w:hAnsi="Tahoma" w:cs="Tahoma"/>
        </w:rPr>
        <w:t>To enhance the safety and financial resilience of schools, we recommend a collaborative policy approach between the Ministry of Education and Insurers. This will integrate financial risk protection into the national education policy framework.</w:t>
      </w:r>
    </w:p>
    <w:p w14:paraId="3B7773C1" w14:textId="77777777" w:rsidR="00EA0BC9" w:rsidRPr="00EA0BC9" w:rsidRDefault="00EA0BC9" w:rsidP="00EA0BC9">
      <w:pPr>
        <w:numPr>
          <w:ilvl w:val="0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Policy and Regulatory Reform:</w:t>
      </w:r>
    </w:p>
    <w:p w14:paraId="70A0975D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Amend the Ministry of Education's Safety Standards Manual (2008) to </w:t>
      </w:r>
      <w:r w:rsidRPr="00EA0BC9">
        <w:rPr>
          <w:rFonts w:ascii="Tahoma" w:hAnsi="Tahoma" w:cs="Tahoma"/>
          <w:b/>
          <w:bCs/>
        </w:rPr>
        <w:t>mandate specific non-motor insurance coverage</w:t>
      </w:r>
      <w:r w:rsidRPr="00EA0BC9">
        <w:rPr>
          <w:rFonts w:ascii="Tahoma" w:hAnsi="Tahoma" w:cs="Tahoma"/>
        </w:rPr>
        <w:t xml:space="preserve"> for all schools. This will shift the perception of insurance from optional to essential.</w:t>
      </w:r>
    </w:p>
    <w:p w14:paraId="5BDBCC56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Require all schools to conduct and document a comprehensive risk assessment</w:t>
      </w:r>
      <w:r w:rsidRPr="00EA0BC9">
        <w:rPr>
          <w:rFonts w:ascii="Tahoma" w:hAnsi="Tahoma" w:cs="Tahoma"/>
        </w:rPr>
        <w:t xml:space="preserve"> as a condition for annual registration. This will encourage better safety practices and help schools identify their specific risks.</w:t>
      </w:r>
    </w:p>
    <w:p w14:paraId="1A3ADB55" w14:textId="77777777" w:rsidR="00EA0BC9" w:rsidRPr="00EA0BC9" w:rsidRDefault="00EA0BC9" w:rsidP="00EA0BC9">
      <w:pPr>
        <w:numPr>
          <w:ilvl w:val="0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lastRenderedPageBreak/>
        <w:t>Awareness and Capacity Building:</w:t>
      </w:r>
    </w:p>
    <w:p w14:paraId="5EFD086B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Partner with AKI to develop and implement </w:t>
      </w:r>
      <w:r w:rsidRPr="00EA0BC9">
        <w:rPr>
          <w:rFonts w:ascii="Tahoma" w:hAnsi="Tahoma" w:cs="Tahoma"/>
          <w:b/>
          <w:bCs/>
        </w:rPr>
        <w:t>mandatory training sessions</w:t>
      </w:r>
      <w:r w:rsidRPr="00EA0BC9">
        <w:rPr>
          <w:rFonts w:ascii="Tahoma" w:hAnsi="Tahoma" w:cs="Tahoma"/>
        </w:rPr>
        <w:t xml:space="preserve"> for school principals and boards of management on risk management and insurance fundamentals.</w:t>
      </w:r>
    </w:p>
    <w:p w14:paraId="2C38E815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>Integrate risk management and financial preparedness into existing government forums and communication channels for school administrators.</w:t>
      </w:r>
    </w:p>
    <w:p w14:paraId="1E2C4718" w14:textId="77777777" w:rsidR="00EA0BC9" w:rsidRPr="00EA0BC9" w:rsidRDefault="00EA0BC9" w:rsidP="00EA0BC9">
      <w:pPr>
        <w:numPr>
          <w:ilvl w:val="0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Financial and Product Innovation:</w:t>
      </w:r>
    </w:p>
    <w:p w14:paraId="23B038EA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Explore the feasibility of </w:t>
      </w:r>
      <w:r w:rsidRPr="00EA0BC9">
        <w:rPr>
          <w:rFonts w:ascii="Tahoma" w:hAnsi="Tahoma" w:cs="Tahoma"/>
          <w:b/>
          <w:bCs/>
        </w:rPr>
        <w:t>creating a dedicated budget line for insurance</w:t>
      </w:r>
      <w:r w:rsidRPr="00EA0BC9">
        <w:rPr>
          <w:rFonts w:ascii="Tahoma" w:hAnsi="Tahoma" w:cs="Tahoma"/>
        </w:rPr>
        <w:t xml:space="preserve"> in the capitation model for public schools, ensuring funds are specifically allocated for this purpose.</w:t>
      </w:r>
    </w:p>
    <w:p w14:paraId="3A8430A4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Work with insurers to promote </w:t>
      </w:r>
      <w:r w:rsidRPr="00EA0BC9">
        <w:rPr>
          <w:rFonts w:ascii="Tahoma" w:hAnsi="Tahoma" w:cs="Tahoma"/>
          <w:b/>
          <w:bCs/>
        </w:rPr>
        <w:t>simplified, bundled insurance products</w:t>
      </w:r>
      <w:r w:rsidRPr="00EA0BC9">
        <w:rPr>
          <w:rFonts w:ascii="Tahoma" w:hAnsi="Tahoma" w:cs="Tahoma"/>
        </w:rPr>
        <w:t xml:space="preserve"> (e.g., combining fire, liability, and personal accident covers) that are affordable and aligned with the school calendar.</w:t>
      </w:r>
    </w:p>
    <w:p w14:paraId="7C4ACFED" w14:textId="77777777" w:rsidR="00EA0BC9" w:rsidRPr="00EA0BC9" w:rsidRDefault="00EA0BC9" w:rsidP="00EA0BC9">
      <w:pPr>
        <w:numPr>
          <w:ilvl w:val="0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  <w:b/>
          <w:bCs/>
        </w:rPr>
        <w:t>Strengthened Risk Management Support:</w:t>
      </w:r>
    </w:p>
    <w:p w14:paraId="5D17BAD2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Establish a framework for </w:t>
      </w:r>
      <w:r w:rsidRPr="00EA0BC9">
        <w:rPr>
          <w:rFonts w:ascii="Tahoma" w:hAnsi="Tahoma" w:cs="Tahoma"/>
          <w:b/>
          <w:bCs/>
        </w:rPr>
        <w:t>pre-insurance risk assessments and ongoing safety audits</w:t>
      </w:r>
      <w:r w:rsidRPr="00EA0BC9">
        <w:rPr>
          <w:rFonts w:ascii="Tahoma" w:hAnsi="Tahoma" w:cs="Tahoma"/>
        </w:rPr>
        <w:t xml:space="preserve"> to ensure schools meet minimum safety standards before they can secure coverage.</w:t>
      </w:r>
    </w:p>
    <w:p w14:paraId="7266F0B7" w14:textId="77777777" w:rsidR="00EA0BC9" w:rsidRPr="00EA0BC9" w:rsidRDefault="00EA0BC9" w:rsidP="00EA0BC9">
      <w:pPr>
        <w:numPr>
          <w:ilvl w:val="1"/>
          <w:numId w:val="2"/>
        </w:numPr>
        <w:rPr>
          <w:rFonts w:ascii="Tahoma" w:hAnsi="Tahoma" w:cs="Tahoma"/>
        </w:rPr>
      </w:pPr>
      <w:r w:rsidRPr="00EA0BC9">
        <w:rPr>
          <w:rFonts w:ascii="Tahoma" w:hAnsi="Tahoma" w:cs="Tahoma"/>
        </w:rPr>
        <w:t xml:space="preserve">Encourage the use of </w:t>
      </w:r>
      <w:r w:rsidRPr="00EA0BC9">
        <w:rPr>
          <w:rFonts w:ascii="Tahoma" w:hAnsi="Tahoma" w:cs="Tahoma"/>
          <w:b/>
          <w:bCs/>
        </w:rPr>
        <w:t>digital platforms and mobile solutions</w:t>
      </w:r>
      <w:r w:rsidRPr="00EA0BC9">
        <w:rPr>
          <w:rFonts w:ascii="Tahoma" w:hAnsi="Tahoma" w:cs="Tahoma"/>
        </w:rPr>
        <w:t xml:space="preserve"> to simplify insurance procurement and support for schools in remote areas.</w:t>
      </w:r>
    </w:p>
    <w:p w14:paraId="722D81EE" w14:textId="77777777" w:rsidR="00EA0BC9" w:rsidRPr="00EA0BC9" w:rsidRDefault="00000000" w:rsidP="00EA0BC9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69C79864">
          <v:rect id="_x0000_i1027" style="width:0;height:1.5pt" o:hralign="center" o:hrstd="t" o:hrnoshade="t" o:hr="t" fillcolor="#1b1c1d" stroked="f"/>
        </w:pict>
      </w:r>
    </w:p>
    <w:p w14:paraId="56DE8590" w14:textId="77777777" w:rsidR="00EA0BC9" w:rsidRPr="00EA0BC9" w:rsidRDefault="00EA0BC9" w:rsidP="00EA0BC9">
      <w:pPr>
        <w:rPr>
          <w:rFonts w:ascii="Tahoma" w:hAnsi="Tahoma" w:cs="Tahoma"/>
          <w:b/>
          <w:bCs/>
        </w:rPr>
      </w:pPr>
      <w:r w:rsidRPr="00EA0BC9">
        <w:rPr>
          <w:rFonts w:ascii="Tahoma" w:hAnsi="Tahoma" w:cs="Tahoma"/>
          <w:b/>
          <w:bCs/>
        </w:rPr>
        <w:t>Conclusion</w:t>
      </w:r>
    </w:p>
    <w:p w14:paraId="31B6DA20" w14:textId="3FAAECF2" w:rsidR="00EA0BC9" w:rsidRPr="00EA0BC9" w:rsidRDefault="00EA0BC9" w:rsidP="00EA0BC9">
      <w:pPr>
        <w:jc w:val="both"/>
        <w:rPr>
          <w:rFonts w:ascii="Tahoma" w:hAnsi="Tahoma" w:cs="Tahoma"/>
        </w:rPr>
      </w:pPr>
      <w:r w:rsidRPr="00EA0BC9">
        <w:rPr>
          <w:rFonts w:ascii="Tahoma" w:hAnsi="Tahoma" w:cs="Tahoma"/>
        </w:rPr>
        <w:t>Without decisive policy changes, Kenya’s schools will remain vulnerable to disasters, threatening lives, disrupting learning, and placing an unsustainable financial strain on the government, parents and local communities. By embracing a proactive, collaborative approach to risk management and mandating financial risk protection, we can create a safer, more resilient education system for all.</w:t>
      </w:r>
    </w:p>
    <w:p w14:paraId="432DCA21" w14:textId="77777777" w:rsidR="000167AB" w:rsidRPr="00EA0BC9" w:rsidRDefault="000167AB">
      <w:pPr>
        <w:rPr>
          <w:rFonts w:ascii="Tahoma" w:hAnsi="Tahoma" w:cs="Tahoma"/>
        </w:rPr>
      </w:pPr>
    </w:p>
    <w:sectPr w:rsidR="000167AB" w:rsidRPr="00EA0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051"/>
    <w:multiLevelType w:val="multilevel"/>
    <w:tmpl w:val="ADA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C2F01"/>
    <w:multiLevelType w:val="multilevel"/>
    <w:tmpl w:val="09A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03073">
    <w:abstractNumId w:val="1"/>
  </w:num>
  <w:num w:numId="2" w16cid:durableId="58349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C9"/>
    <w:rsid w:val="000167AB"/>
    <w:rsid w:val="001B5928"/>
    <w:rsid w:val="00415144"/>
    <w:rsid w:val="008713C0"/>
    <w:rsid w:val="00B309FD"/>
    <w:rsid w:val="00EA0BC9"/>
    <w:rsid w:val="00EC1EF5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7A32"/>
  <w15:chartTrackingRefBased/>
  <w15:docId w15:val="{348045BE-A408-4C43-8679-F23D7A3C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Kingori</dc:creator>
  <cp:keywords/>
  <dc:description/>
  <cp:lastModifiedBy>Hazel Kingori</cp:lastModifiedBy>
  <cp:revision>2</cp:revision>
  <dcterms:created xsi:type="dcterms:W3CDTF">2025-09-03T07:59:00Z</dcterms:created>
  <dcterms:modified xsi:type="dcterms:W3CDTF">2025-09-08T05:37:00Z</dcterms:modified>
</cp:coreProperties>
</file>