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405"/>
        <w:tblW w:w="12470" w:type="dxa"/>
        <w:tblCellMar>
          <w:left w:w="0" w:type="dxa"/>
          <w:right w:w="0" w:type="dxa"/>
        </w:tblCellMar>
        <w:tblLook w:val="04A0" w:firstRow="1" w:lastRow="0" w:firstColumn="1" w:lastColumn="0" w:noHBand="0" w:noVBand="1"/>
      </w:tblPr>
      <w:tblGrid>
        <w:gridCol w:w="12470"/>
      </w:tblGrid>
      <w:tr w:rsidR="0099333E" w:rsidTr="0099333E">
        <w:trPr>
          <w:trHeight w:val="1351"/>
        </w:trPr>
        <w:tc>
          <w:tcPr>
            <w:tcW w:w="12470" w:type="dxa"/>
            <w:tcBorders>
              <w:top w:val="single" w:sz="8" w:space="0" w:color="auto"/>
              <w:left w:val="single" w:sz="8" w:space="0" w:color="auto"/>
              <w:bottom w:val="single" w:sz="8" w:space="0" w:color="auto"/>
              <w:right w:val="single" w:sz="8" w:space="0" w:color="auto"/>
            </w:tcBorders>
            <w:shd w:val="clear" w:color="auto" w:fill="FFCC00"/>
            <w:tcMar>
              <w:top w:w="0" w:type="dxa"/>
              <w:left w:w="108" w:type="dxa"/>
              <w:bottom w:w="0" w:type="dxa"/>
              <w:right w:w="108" w:type="dxa"/>
            </w:tcMar>
            <w:hideMark/>
          </w:tcPr>
          <w:p w:rsidR="0099333E" w:rsidRDefault="0099333E" w:rsidP="0099333E">
            <w:pPr>
              <w:rPr>
                <w:rFonts w:ascii="Berlin Sans FB" w:hAnsi="Berlin Sans FB"/>
                <w:sz w:val="90"/>
                <w:szCs w:val="90"/>
              </w:rPr>
            </w:pPr>
            <w:bookmarkStart w:id="0" w:name="_GoBack"/>
            <w:bookmarkEnd w:id="0"/>
            <w:r>
              <w:rPr>
                <w:noProof/>
              </w:rPr>
              <w:drawing>
                <wp:anchor distT="0" distB="0" distL="114300" distR="114300" simplePos="0" relativeHeight="251660288" behindDoc="0" locked="0" layoutInCell="1" allowOverlap="1">
                  <wp:simplePos x="0" y="0"/>
                  <wp:positionH relativeFrom="column">
                    <wp:posOffset>6275705</wp:posOffset>
                  </wp:positionH>
                  <wp:positionV relativeFrom="paragraph">
                    <wp:posOffset>601345</wp:posOffset>
                  </wp:positionV>
                  <wp:extent cx="1447800" cy="266700"/>
                  <wp:effectExtent l="0" t="0" r="0" b="0"/>
                  <wp:wrapNone/>
                  <wp:docPr id="12" name="Picture 12" descr="19th – 26th Mar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9th – 26th Mar 202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447800" cy="266700"/>
                          </a:xfrm>
                          <a:prstGeom prst="rect">
                            <a:avLst/>
                          </a:prstGeom>
                          <a:noFill/>
                        </pic:spPr>
                      </pic:pic>
                    </a:graphicData>
                  </a:graphic>
                  <wp14:sizeRelH relativeFrom="margin">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simplePos x="0" y="0"/>
                  <wp:positionH relativeFrom="column">
                    <wp:posOffset>-71755</wp:posOffset>
                  </wp:positionH>
                  <wp:positionV relativeFrom="paragraph">
                    <wp:posOffset>3175</wp:posOffset>
                  </wp:positionV>
                  <wp:extent cx="666750" cy="962025"/>
                  <wp:effectExtent l="0" t="0" r="0" b="9525"/>
                  <wp:wrapNone/>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66750" cy="962025"/>
                          </a:xfrm>
                          <a:prstGeom prst="rect">
                            <a:avLst/>
                          </a:prstGeom>
                          <a:noFill/>
                        </pic:spPr>
                      </pic:pic>
                    </a:graphicData>
                  </a:graphic>
                  <wp14:sizeRelH relativeFrom="margin">
                    <wp14:pctWidth>0</wp14:pctWidth>
                  </wp14:sizeRelH>
                  <wp14:sizeRelV relativeFrom="margin">
                    <wp14:pctHeight>0</wp14:pctHeight>
                  </wp14:sizeRelV>
                </wp:anchor>
              </w:drawing>
            </w:r>
            <w:r>
              <w:rPr>
                <w:rFonts w:ascii="Berlin Sans FB" w:hAnsi="Berlin Sans FB"/>
                <w:sz w:val="44"/>
                <w:szCs w:val="44"/>
              </w:rPr>
              <w:t xml:space="preserve">                </w:t>
            </w:r>
            <w:r>
              <w:rPr>
                <w:rFonts w:ascii="Berlin Sans FB" w:hAnsi="Berlin Sans FB"/>
                <w:sz w:val="90"/>
                <w:szCs w:val="90"/>
              </w:rPr>
              <w:t>Weekly Media Watch</w:t>
            </w:r>
          </w:p>
          <w:p w:rsidR="0099333E" w:rsidRDefault="0099333E" w:rsidP="0099333E">
            <w:pPr>
              <w:jc w:val="center"/>
              <w:rPr>
                <w:rFonts w:ascii="Berlin Sans FB" w:hAnsi="Berlin Sans FB"/>
                <w:sz w:val="90"/>
                <w:szCs w:val="90"/>
              </w:rPr>
            </w:pPr>
            <w:r>
              <w:rPr>
                <w:rFonts w:ascii="Berlin Sans FB" w:hAnsi="Berlin Sans FB"/>
                <w:i/>
                <w:iCs/>
                <w:sz w:val="26"/>
                <w:szCs w:val="26"/>
              </w:rPr>
              <w:t>A weekly round-up of news coverage</w:t>
            </w:r>
          </w:p>
        </w:tc>
      </w:tr>
      <w:tr w:rsidR="0099333E" w:rsidTr="0099333E">
        <w:trPr>
          <w:trHeight w:val="140"/>
        </w:trPr>
        <w:tc>
          <w:tcPr>
            <w:tcW w:w="124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333E" w:rsidRDefault="0099333E" w:rsidP="0099333E">
            <w:pPr>
              <w:rPr>
                <w:rFonts w:ascii="Cambria" w:hAnsi="Cambria"/>
                <w:b/>
                <w:bCs/>
                <w:sz w:val="20"/>
                <w:szCs w:val="20"/>
              </w:rPr>
            </w:pPr>
          </w:p>
          <w:p w:rsidR="0099333E" w:rsidRDefault="0099333E" w:rsidP="0099333E">
            <w:pPr>
              <w:rPr>
                <w:rFonts w:ascii="Cambria" w:hAnsi="Cambria"/>
                <w:b/>
                <w:bCs/>
                <w:sz w:val="20"/>
                <w:szCs w:val="20"/>
              </w:rPr>
            </w:pPr>
            <w:proofErr w:type="spellStart"/>
            <w:r>
              <w:rPr>
                <w:rFonts w:ascii="Cambria" w:hAnsi="Cambria"/>
                <w:b/>
                <w:bCs/>
                <w:sz w:val="20"/>
                <w:szCs w:val="20"/>
                <w:highlight w:val="green"/>
              </w:rPr>
              <w:t>Metropol</w:t>
            </w:r>
            <w:proofErr w:type="spellEnd"/>
            <w:r>
              <w:rPr>
                <w:rFonts w:ascii="Cambria" w:hAnsi="Cambria"/>
                <w:b/>
                <w:bCs/>
                <w:sz w:val="20"/>
                <w:szCs w:val="20"/>
                <w:highlight w:val="green"/>
              </w:rPr>
              <w:t xml:space="preserve"> TV: 25-03-2021 Time| 19:30:26</w:t>
            </w:r>
          </w:p>
          <w:p w:rsidR="0099333E" w:rsidRDefault="0099333E" w:rsidP="0099333E">
            <w:pPr>
              <w:rPr>
                <w:rFonts w:ascii="Cambria" w:hAnsi="Cambria"/>
                <w:b/>
                <w:bCs/>
                <w:sz w:val="20"/>
                <w:szCs w:val="20"/>
              </w:rPr>
            </w:pPr>
          </w:p>
          <w:p w:rsidR="0099333E" w:rsidRDefault="0099333E" w:rsidP="0099333E">
            <w:pPr>
              <w:rPr>
                <w:rStyle w:val="Hyperlink"/>
              </w:rPr>
            </w:pPr>
            <w:r>
              <w:rPr>
                <w:rFonts w:ascii="Cambria" w:hAnsi="Cambria"/>
                <w:b/>
                <w:bCs/>
                <w:sz w:val="20"/>
                <w:szCs w:val="20"/>
              </w:rPr>
              <w:t xml:space="preserve">Sanlam Kenya results: </w:t>
            </w:r>
            <w:r>
              <w:rPr>
                <w:rFonts w:ascii="Cambria" w:hAnsi="Cambria"/>
                <w:sz w:val="20"/>
                <w:szCs w:val="20"/>
              </w:rPr>
              <w:t xml:space="preserve">Sanlam Kenya closed the year 2020 on a Ksh.78 million after-tax </w:t>
            </w:r>
            <w:r>
              <w:rPr>
                <w:noProof/>
              </w:rPr>
              <w:drawing>
                <wp:anchor distT="0" distB="0" distL="114300" distR="114300" simplePos="0" relativeHeight="251661312" behindDoc="1" locked="0" layoutInCell="1" allowOverlap="1">
                  <wp:simplePos x="0" y="0"/>
                  <wp:positionH relativeFrom="column">
                    <wp:align>left</wp:align>
                  </wp:positionH>
                  <wp:positionV relativeFrom="paragraph">
                    <wp:posOffset>1684020</wp:posOffset>
                  </wp:positionV>
                  <wp:extent cx="2453640" cy="1409700"/>
                  <wp:effectExtent l="0" t="0" r="3810" b="0"/>
                  <wp:wrapTight wrapText="bothSides">
                    <wp:wrapPolygon edited="0">
                      <wp:start x="0" y="0"/>
                      <wp:lineTo x="0" y="21308"/>
                      <wp:lineTo x="21466" y="21308"/>
                      <wp:lineTo x="21466"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 cstate="print">
                            <a:extLst>
                              <a:ext uri="{28A0092B-C50C-407E-A947-70E740481C1C}">
                                <a14:useLocalDpi xmlns:a14="http://schemas.microsoft.com/office/drawing/2010/main" val="0"/>
                              </a:ext>
                            </a:extLst>
                          </a:blip>
                          <a:srcRect l="22581" t="10414" r="20660" b="13858"/>
                          <a:stretch>
                            <a:fillRect/>
                          </a:stretch>
                        </pic:blipFill>
                        <pic:spPr bwMode="auto">
                          <a:xfrm>
                            <a:off x="0" y="0"/>
                            <a:ext cx="2453640" cy="140970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sz w:val="20"/>
                <w:szCs w:val="20"/>
              </w:rPr>
              <w:t>loss, due to increased claims and lower investment returns, representing a decline from the corresponding previous year after-tax profit of Ksh.114million.The company’s pre-tax profit shrunk 92 percent to record Ksh.43 million from the Ksh.550 million posted in 2019.Sanlam Kenya Chairman Dr. John Simba said the effects of the COVID-19 pandemic on the local economy and foreign exchange rates adversely impacted the Group’s net assets valuation. The challenging business environment eroded gains made in the growth of gross premium income, which increased by 24.4 percent to Ksh.8.69 billion up from Ksh.6.99 billion posted the previous year due to growth in both the long and short-term insurance businesses</w:t>
            </w:r>
            <w:r>
              <w:rPr>
                <w:rFonts w:ascii="Cambria" w:hAnsi="Cambria"/>
                <w:b/>
                <w:bCs/>
                <w:sz w:val="20"/>
                <w:szCs w:val="20"/>
              </w:rPr>
              <w:t xml:space="preserve">. </w:t>
            </w:r>
            <w:hyperlink r:id="rId7" w:history="1">
              <w:r>
                <w:rPr>
                  <w:rStyle w:val="Hyperlink"/>
                  <w:rFonts w:ascii="Cambria" w:hAnsi="Cambria"/>
                  <w:b/>
                  <w:bCs/>
                  <w:sz w:val="20"/>
                  <w:szCs w:val="20"/>
                </w:rPr>
                <w:t>Download video</w:t>
              </w:r>
            </w:hyperlink>
          </w:p>
          <w:p w:rsidR="0099333E" w:rsidRDefault="0099333E" w:rsidP="0099333E">
            <w:pPr>
              <w:rPr>
                <w:b/>
                <w:bCs/>
              </w:rPr>
            </w:pPr>
          </w:p>
          <w:p w:rsidR="0099333E" w:rsidRDefault="0099333E" w:rsidP="0099333E">
            <w:pPr>
              <w:rPr>
                <w:rFonts w:ascii="Cambria" w:hAnsi="Cambria"/>
                <w:b/>
                <w:bCs/>
                <w:sz w:val="20"/>
                <w:szCs w:val="20"/>
              </w:rPr>
            </w:pPr>
            <w:r>
              <w:rPr>
                <w:rFonts w:ascii="Cambria" w:hAnsi="Cambria"/>
                <w:b/>
                <w:bCs/>
                <w:sz w:val="20"/>
                <w:szCs w:val="20"/>
                <w:highlight w:val="green"/>
              </w:rPr>
              <w:t>Citizen TV: 23-03-2021 Time| 21:49:08</w:t>
            </w:r>
          </w:p>
          <w:p w:rsidR="0099333E" w:rsidRDefault="0099333E" w:rsidP="0099333E">
            <w:pPr>
              <w:rPr>
                <w:rFonts w:ascii="Cambria" w:hAnsi="Cambria"/>
                <w:b/>
                <w:bCs/>
                <w:sz w:val="20"/>
                <w:szCs w:val="20"/>
              </w:rPr>
            </w:pPr>
          </w:p>
          <w:p w:rsidR="0099333E" w:rsidRDefault="0099333E" w:rsidP="0099333E">
            <w:pPr>
              <w:rPr>
                <w:rStyle w:val="Hyperlink"/>
              </w:rPr>
            </w:pPr>
            <w:r>
              <w:rPr>
                <w:noProof/>
              </w:rPr>
              <w:drawing>
                <wp:anchor distT="0" distB="0" distL="114300" distR="114300" simplePos="0" relativeHeight="251662336" behindDoc="1" locked="0" layoutInCell="1" allowOverlap="1">
                  <wp:simplePos x="0" y="0"/>
                  <wp:positionH relativeFrom="column">
                    <wp:posOffset>-182880</wp:posOffset>
                  </wp:positionH>
                  <wp:positionV relativeFrom="paragraph">
                    <wp:posOffset>-2301240</wp:posOffset>
                  </wp:positionV>
                  <wp:extent cx="2438400" cy="1452880"/>
                  <wp:effectExtent l="0" t="0" r="0" b="0"/>
                  <wp:wrapTight wrapText="bothSides">
                    <wp:wrapPolygon edited="0">
                      <wp:start x="0" y="0"/>
                      <wp:lineTo x="0" y="21241"/>
                      <wp:lineTo x="21431" y="21241"/>
                      <wp:lineTo x="2143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extLst>
                              <a:ext uri="{28A0092B-C50C-407E-A947-70E740481C1C}">
                                <a14:useLocalDpi xmlns:a14="http://schemas.microsoft.com/office/drawing/2010/main" val="0"/>
                              </a:ext>
                            </a:extLst>
                          </a:blip>
                          <a:srcRect l="17455" t="9764" r="27252" b="12773"/>
                          <a:stretch>
                            <a:fillRect/>
                          </a:stretch>
                        </pic:blipFill>
                        <pic:spPr bwMode="auto">
                          <a:xfrm>
                            <a:off x="0" y="0"/>
                            <a:ext cx="2438400" cy="145288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sz w:val="20"/>
                <w:szCs w:val="20"/>
              </w:rPr>
              <w:t>Insurance agent charged:</w:t>
            </w:r>
            <w:r>
              <w:rPr>
                <w:rFonts w:ascii="Cambria" w:hAnsi="Cambria"/>
                <w:sz w:val="20"/>
                <w:szCs w:val="20"/>
              </w:rPr>
              <w:t xml:space="preserve"> An insurance agent has been charged in a </w:t>
            </w:r>
            <w:proofErr w:type="spellStart"/>
            <w:r>
              <w:rPr>
                <w:rFonts w:ascii="Cambria" w:hAnsi="Cambria"/>
                <w:sz w:val="20"/>
                <w:szCs w:val="20"/>
              </w:rPr>
              <w:t>Kwale</w:t>
            </w:r>
            <w:proofErr w:type="spellEnd"/>
            <w:r>
              <w:rPr>
                <w:rFonts w:ascii="Cambria" w:hAnsi="Cambria"/>
                <w:sz w:val="20"/>
                <w:szCs w:val="20"/>
              </w:rPr>
              <w:t xml:space="preserve"> Court for making and issuing fake certificates in the name of </w:t>
            </w:r>
            <w:proofErr w:type="spellStart"/>
            <w:r>
              <w:rPr>
                <w:rFonts w:ascii="Cambria" w:hAnsi="Cambria"/>
                <w:sz w:val="20"/>
                <w:szCs w:val="20"/>
              </w:rPr>
              <w:t>Directline</w:t>
            </w:r>
            <w:proofErr w:type="spellEnd"/>
            <w:r>
              <w:rPr>
                <w:rFonts w:ascii="Cambria" w:hAnsi="Cambria"/>
                <w:sz w:val="20"/>
                <w:szCs w:val="20"/>
              </w:rPr>
              <w:t xml:space="preserve"> Assurance. </w:t>
            </w:r>
            <w:hyperlink r:id="rId9" w:history="1">
              <w:r>
                <w:rPr>
                  <w:rStyle w:val="Hyperlink"/>
                  <w:rFonts w:ascii="Cambria" w:hAnsi="Cambria"/>
                  <w:b/>
                  <w:bCs/>
                  <w:sz w:val="20"/>
                  <w:szCs w:val="20"/>
                </w:rPr>
                <w:t>Download Video</w:t>
              </w:r>
            </w:hyperlink>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 w:rsidR="0099333E" w:rsidRDefault="0099333E" w:rsidP="0099333E">
            <w:pPr>
              <w:rPr>
                <w:rFonts w:ascii="Cambria" w:hAnsi="Cambria"/>
                <w:b/>
                <w:bCs/>
                <w:sz w:val="20"/>
                <w:szCs w:val="20"/>
              </w:rPr>
            </w:pPr>
            <w:r>
              <w:rPr>
                <w:rFonts w:ascii="Cambria" w:hAnsi="Cambria"/>
                <w:b/>
                <w:bCs/>
                <w:sz w:val="20"/>
                <w:szCs w:val="20"/>
                <w:highlight w:val="green"/>
              </w:rPr>
              <w:t>Citizen TV: 23-03-2021 Time| 19:27:50</w:t>
            </w:r>
          </w:p>
          <w:p w:rsidR="0099333E" w:rsidRDefault="0099333E" w:rsidP="0099333E">
            <w:pPr>
              <w:rPr>
                <w:rFonts w:ascii="Cambria" w:hAnsi="Cambria"/>
                <w:b/>
                <w:bCs/>
                <w:sz w:val="20"/>
                <w:szCs w:val="20"/>
              </w:rPr>
            </w:pPr>
          </w:p>
          <w:p w:rsidR="0099333E" w:rsidRDefault="0099333E" w:rsidP="0099333E">
            <w:pPr>
              <w:rPr>
                <w:rStyle w:val="Hyperlink"/>
              </w:rPr>
            </w:pPr>
            <w:r>
              <w:rPr>
                <w:noProof/>
              </w:rPr>
              <w:drawing>
                <wp:anchor distT="0" distB="0" distL="114300" distR="114300" simplePos="0" relativeHeight="251664384" behindDoc="1" locked="0" layoutInCell="1" allowOverlap="1">
                  <wp:simplePos x="0" y="0"/>
                  <wp:positionH relativeFrom="column">
                    <wp:posOffset>-182880</wp:posOffset>
                  </wp:positionH>
                  <wp:positionV relativeFrom="paragraph">
                    <wp:posOffset>-4434840</wp:posOffset>
                  </wp:positionV>
                  <wp:extent cx="2400300" cy="1485900"/>
                  <wp:effectExtent l="0" t="0" r="0" b="0"/>
                  <wp:wrapTight wrapText="bothSides">
                    <wp:wrapPolygon edited="0">
                      <wp:start x="0" y="0"/>
                      <wp:lineTo x="0" y="21323"/>
                      <wp:lineTo x="21429" y="21323"/>
                      <wp:lineTo x="21429"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l="19041" t="11716" r="25299" b="12990"/>
                          <a:stretch>
                            <a:fillRect/>
                          </a:stretch>
                        </pic:blipFill>
                        <pic:spPr bwMode="auto">
                          <a:xfrm>
                            <a:off x="0" y="0"/>
                            <a:ext cx="240030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sz w:val="20"/>
                <w:szCs w:val="20"/>
              </w:rPr>
              <w:t xml:space="preserve">Insurance agent charged: </w:t>
            </w:r>
            <w:r>
              <w:rPr>
                <w:rFonts w:ascii="Cambria" w:hAnsi="Cambria"/>
                <w:sz w:val="20"/>
                <w:szCs w:val="20"/>
              </w:rPr>
              <w:t xml:space="preserve">An insurance agent has been charged in a </w:t>
            </w:r>
            <w:proofErr w:type="spellStart"/>
            <w:r>
              <w:rPr>
                <w:rFonts w:ascii="Cambria" w:hAnsi="Cambria"/>
                <w:sz w:val="20"/>
                <w:szCs w:val="20"/>
              </w:rPr>
              <w:t>Kwale</w:t>
            </w:r>
            <w:proofErr w:type="spellEnd"/>
            <w:r>
              <w:rPr>
                <w:rFonts w:ascii="Cambria" w:hAnsi="Cambria"/>
                <w:sz w:val="20"/>
                <w:szCs w:val="20"/>
              </w:rPr>
              <w:t xml:space="preserve"> Court for making and issuing fake certificates in the name of </w:t>
            </w:r>
            <w:proofErr w:type="spellStart"/>
            <w:r>
              <w:rPr>
                <w:rFonts w:ascii="Cambria" w:hAnsi="Cambria"/>
                <w:sz w:val="20"/>
                <w:szCs w:val="20"/>
              </w:rPr>
              <w:t>Directline</w:t>
            </w:r>
            <w:proofErr w:type="spellEnd"/>
            <w:r>
              <w:rPr>
                <w:rFonts w:ascii="Cambria" w:hAnsi="Cambria"/>
                <w:sz w:val="20"/>
                <w:szCs w:val="20"/>
              </w:rPr>
              <w:t xml:space="preserve"> Assurance. </w:t>
            </w:r>
            <w:hyperlink r:id="rId11" w:history="1">
              <w:r>
                <w:rPr>
                  <w:rStyle w:val="Hyperlink"/>
                  <w:rFonts w:ascii="Cambria" w:hAnsi="Cambria"/>
                  <w:b/>
                  <w:bCs/>
                  <w:sz w:val="20"/>
                  <w:szCs w:val="20"/>
                </w:rPr>
                <w:t>Download video</w:t>
              </w:r>
            </w:hyperlink>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Pr>
              <w:rPr>
                <w:rStyle w:val="Hyperlink"/>
                <w:rFonts w:ascii="Cambria" w:hAnsi="Cambria"/>
                <w:b/>
                <w:bCs/>
                <w:sz w:val="20"/>
                <w:szCs w:val="20"/>
              </w:rPr>
            </w:pPr>
          </w:p>
          <w:p w:rsidR="0099333E" w:rsidRDefault="0099333E" w:rsidP="0099333E"/>
          <w:p w:rsidR="0099333E" w:rsidRDefault="0099333E" w:rsidP="0099333E">
            <w:pPr>
              <w:rPr>
                <w:rFonts w:ascii="Cambria" w:hAnsi="Cambria"/>
                <w:b/>
                <w:bCs/>
                <w:sz w:val="20"/>
                <w:szCs w:val="20"/>
              </w:rPr>
            </w:pPr>
            <w:r>
              <w:rPr>
                <w:rFonts w:ascii="Cambria" w:hAnsi="Cambria"/>
                <w:b/>
                <w:bCs/>
                <w:sz w:val="20"/>
                <w:szCs w:val="20"/>
                <w:highlight w:val="green"/>
              </w:rPr>
              <w:t>KTN News: 23-03-2021 Time| 11:36:44</w:t>
            </w:r>
            <w:r>
              <w:rPr>
                <w:rFonts w:ascii="Cambria" w:hAnsi="Cambria"/>
                <w:b/>
                <w:bCs/>
                <w:sz w:val="20"/>
                <w:szCs w:val="20"/>
              </w:rPr>
              <w:t xml:space="preserve"> </w:t>
            </w:r>
          </w:p>
          <w:p w:rsidR="0099333E" w:rsidRDefault="0099333E" w:rsidP="0099333E">
            <w:pPr>
              <w:rPr>
                <w:rFonts w:ascii="Cambria" w:hAnsi="Cambria"/>
                <w:b/>
                <w:bCs/>
                <w:sz w:val="20"/>
                <w:szCs w:val="20"/>
              </w:rPr>
            </w:pPr>
          </w:p>
          <w:p w:rsidR="0099333E" w:rsidRDefault="0099333E" w:rsidP="0099333E">
            <w:pPr>
              <w:rPr>
                <w:rStyle w:val="Hyperlink"/>
              </w:rPr>
            </w:pPr>
            <w:r>
              <w:rPr>
                <w:noProof/>
              </w:rPr>
              <w:drawing>
                <wp:anchor distT="0" distB="0" distL="114300" distR="114300" simplePos="0" relativeHeight="251663360" behindDoc="1" locked="0" layoutInCell="1" allowOverlap="1">
                  <wp:simplePos x="0" y="0"/>
                  <wp:positionH relativeFrom="column">
                    <wp:posOffset>-182880</wp:posOffset>
                  </wp:positionH>
                  <wp:positionV relativeFrom="paragraph">
                    <wp:posOffset>-6263640</wp:posOffset>
                  </wp:positionV>
                  <wp:extent cx="2395220" cy="1485900"/>
                  <wp:effectExtent l="0" t="0" r="5080" b="0"/>
                  <wp:wrapTight wrapText="bothSides">
                    <wp:wrapPolygon edited="0">
                      <wp:start x="0" y="0"/>
                      <wp:lineTo x="0" y="21323"/>
                      <wp:lineTo x="21474" y="21323"/>
                      <wp:lineTo x="21474"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l="8179" t="9763" r="13704" b="16028"/>
                          <a:stretch>
                            <a:fillRect/>
                          </a:stretch>
                        </pic:blipFill>
                        <pic:spPr bwMode="auto">
                          <a:xfrm>
                            <a:off x="0" y="0"/>
                            <a:ext cx="2395220" cy="1485900"/>
                          </a:xfrm>
                          <a:prstGeom prst="rect">
                            <a:avLst/>
                          </a:prstGeom>
                          <a:noFill/>
                        </pic:spPr>
                      </pic:pic>
                    </a:graphicData>
                  </a:graphic>
                  <wp14:sizeRelH relativeFrom="margin">
                    <wp14:pctWidth>0</wp14:pctWidth>
                  </wp14:sizeRelH>
                  <wp14:sizeRelV relativeFrom="margin">
                    <wp14:pctHeight>0</wp14:pctHeight>
                  </wp14:sizeRelV>
                </wp:anchor>
              </w:drawing>
            </w:r>
            <w:r>
              <w:rPr>
                <w:rFonts w:ascii="Cambria" w:hAnsi="Cambria"/>
                <w:b/>
                <w:bCs/>
                <w:sz w:val="20"/>
                <w:szCs w:val="20"/>
              </w:rPr>
              <w:t xml:space="preserve">NHIF release 170 million Kenya shillings to 112 hospitals in </w:t>
            </w:r>
            <w:proofErr w:type="spellStart"/>
            <w:r>
              <w:rPr>
                <w:rFonts w:ascii="Cambria" w:hAnsi="Cambria"/>
                <w:b/>
                <w:bCs/>
                <w:sz w:val="20"/>
                <w:szCs w:val="20"/>
              </w:rPr>
              <w:t>Busia</w:t>
            </w:r>
            <w:proofErr w:type="spellEnd"/>
            <w:r>
              <w:rPr>
                <w:rFonts w:ascii="Cambria" w:hAnsi="Cambria"/>
                <w:b/>
                <w:bCs/>
                <w:sz w:val="20"/>
                <w:szCs w:val="20"/>
              </w:rPr>
              <w:t>:</w:t>
            </w:r>
            <w:r>
              <w:rPr>
                <w:rFonts w:ascii="Cambria" w:hAnsi="Cambria"/>
                <w:sz w:val="20"/>
                <w:szCs w:val="20"/>
              </w:rPr>
              <w:t xml:space="preserve"> The National Health and Insurance fund has released 170 million Kenya shillings to about 112 hospitals in </w:t>
            </w:r>
            <w:proofErr w:type="spellStart"/>
            <w:r>
              <w:rPr>
                <w:rFonts w:ascii="Cambria" w:hAnsi="Cambria"/>
                <w:sz w:val="20"/>
                <w:szCs w:val="20"/>
              </w:rPr>
              <w:t>Busia</w:t>
            </w:r>
            <w:proofErr w:type="spellEnd"/>
            <w:r>
              <w:rPr>
                <w:rFonts w:ascii="Cambria" w:hAnsi="Cambria"/>
                <w:sz w:val="20"/>
                <w:szCs w:val="20"/>
              </w:rPr>
              <w:t xml:space="preserve"> County. According to the NHIF managing director Dr. Peter </w:t>
            </w:r>
            <w:proofErr w:type="spellStart"/>
            <w:r>
              <w:rPr>
                <w:rFonts w:ascii="Cambria" w:hAnsi="Cambria"/>
                <w:sz w:val="20"/>
                <w:szCs w:val="20"/>
              </w:rPr>
              <w:t>Kamunyo</w:t>
            </w:r>
            <w:proofErr w:type="spellEnd"/>
            <w:r>
              <w:rPr>
                <w:rFonts w:ascii="Cambria" w:hAnsi="Cambria"/>
                <w:sz w:val="20"/>
                <w:szCs w:val="20"/>
              </w:rPr>
              <w:t xml:space="preserve"> 74 hospitals have benefited from the share that was given last year. </w:t>
            </w:r>
            <w:proofErr w:type="spellStart"/>
            <w:r>
              <w:rPr>
                <w:rFonts w:ascii="Cambria" w:hAnsi="Cambria"/>
                <w:sz w:val="20"/>
                <w:szCs w:val="20"/>
              </w:rPr>
              <w:t>Kamunyo</w:t>
            </w:r>
            <w:proofErr w:type="spellEnd"/>
            <w:r>
              <w:rPr>
                <w:rFonts w:ascii="Cambria" w:hAnsi="Cambria"/>
                <w:sz w:val="20"/>
                <w:szCs w:val="20"/>
              </w:rPr>
              <w:t xml:space="preserve"> said NHIF has 156 offices countrywide which offer services to its citizen. He said that that they also have plans to put the services in digital platform to make the service delivery easier. </w:t>
            </w:r>
            <w:hyperlink r:id="rId13" w:history="1">
              <w:r>
                <w:rPr>
                  <w:rStyle w:val="Hyperlink"/>
                  <w:rFonts w:ascii="Cambria" w:hAnsi="Cambria"/>
                  <w:b/>
                  <w:bCs/>
                  <w:sz w:val="20"/>
                  <w:szCs w:val="20"/>
                </w:rPr>
                <w:t>Download Video</w:t>
              </w:r>
            </w:hyperlink>
          </w:p>
          <w:p w:rsidR="0099333E" w:rsidRDefault="0099333E" w:rsidP="0099333E">
            <w:pPr>
              <w:rPr>
                <w:rStyle w:val="Hyperlink"/>
                <w:rFonts w:ascii="Cambria" w:hAnsi="Cambria"/>
                <w:b/>
                <w:bCs/>
                <w:sz w:val="20"/>
                <w:szCs w:val="20"/>
              </w:rPr>
            </w:pPr>
          </w:p>
          <w:p w:rsidR="0099333E" w:rsidRDefault="0099333E" w:rsidP="0099333E"/>
          <w:p w:rsidR="0099333E" w:rsidRDefault="0099333E" w:rsidP="0099333E">
            <w:pPr>
              <w:rPr>
                <w:rFonts w:ascii="Cambria" w:hAnsi="Cambria"/>
                <w:b/>
                <w:bCs/>
                <w:sz w:val="20"/>
                <w:szCs w:val="20"/>
              </w:rPr>
            </w:pPr>
          </w:p>
          <w:p w:rsidR="0099333E" w:rsidRDefault="0099333E" w:rsidP="0099333E">
            <w:pPr>
              <w:rPr>
                <w:rFonts w:ascii="Cambria" w:hAnsi="Cambria"/>
                <w:b/>
                <w:bCs/>
                <w:sz w:val="20"/>
                <w:szCs w:val="20"/>
              </w:rPr>
            </w:pPr>
          </w:p>
          <w:p w:rsidR="0099333E" w:rsidRDefault="0099333E" w:rsidP="0099333E">
            <w:pPr>
              <w:rPr>
                <w:rFonts w:ascii="Cambria" w:hAnsi="Cambria"/>
                <w:b/>
                <w:bCs/>
                <w:sz w:val="20"/>
                <w:szCs w:val="20"/>
              </w:rPr>
            </w:pPr>
          </w:p>
          <w:p w:rsidR="0099333E" w:rsidRDefault="0099333E" w:rsidP="0099333E">
            <w:pPr>
              <w:shd w:val="clear" w:color="auto" w:fill="FFF2CC"/>
              <w:rPr>
                <w:rFonts w:ascii="Cambria" w:hAnsi="Cambria"/>
                <w:b/>
                <w:bCs/>
                <w:sz w:val="20"/>
                <w:szCs w:val="20"/>
              </w:rPr>
            </w:pPr>
            <w:r>
              <w:rPr>
                <w:rFonts w:ascii="Cambria" w:hAnsi="Cambria"/>
                <w:b/>
                <w:bCs/>
                <w:sz w:val="20"/>
                <w:szCs w:val="20"/>
              </w:rPr>
              <w:t xml:space="preserve">Business Daily </w:t>
            </w:r>
          </w:p>
          <w:tbl>
            <w:tblPr>
              <w:tblW w:w="0" w:type="auto"/>
              <w:tblCellMar>
                <w:left w:w="0" w:type="dxa"/>
                <w:right w:w="0" w:type="dxa"/>
              </w:tblCellMar>
              <w:tblLook w:val="04A0" w:firstRow="1" w:lastRow="0" w:firstColumn="1" w:lastColumn="0" w:noHBand="0" w:noVBand="1"/>
            </w:tblPr>
            <w:tblGrid>
              <w:gridCol w:w="12048"/>
            </w:tblGrid>
            <w:tr w:rsidR="0099333E">
              <w:trPr>
                <w:trHeight w:val="3750"/>
              </w:trPr>
              <w:tc>
                <w:tcPr>
                  <w:tcW w:w="11175" w:type="dxa"/>
                  <w:tcMar>
                    <w:top w:w="0" w:type="dxa"/>
                    <w:left w:w="108" w:type="dxa"/>
                    <w:bottom w:w="0" w:type="dxa"/>
                    <w:right w:w="108" w:type="dxa"/>
                  </w:tcMar>
                  <w:hideMark/>
                </w:tcPr>
                <w:tbl>
                  <w:tblPr>
                    <w:tblW w:w="0" w:type="dxa"/>
                    <w:tblInd w:w="33" w:type="dxa"/>
                    <w:tblCellMar>
                      <w:left w:w="0" w:type="dxa"/>
                      <w:right w:w="0" w:type="dxa"/>
                    </w:tblCellMar>
                    <w:tblLook w:val="04A0" w:firstRow="1" w:lastRow="0" w:firstColumn="1" w:lastColumn="0" w:noHBand="0" w:noVBand="1"/>
                  </w:tblPr>
                  <w:tblGrid>
                    <w:gridCol w:w="3875"/>
                    <w:gridCol w:w="7924"/>
                  </w:tblGrid>
                  <w:tr w:rsidR="0099333E">
                    <w:trPr>
                      <w:trHeight w:val="4841"/>
                    </w:trPr>
                    <w:tc>
                      <w:tcPr>
                        <w:tcW w:w="3875" w:type="dxa"/>
                        <w:tcMar>
                          <w:top w:w="0" w:type="dxa"/>
                          <w:left w:w="108" w:type="dxa"/>
                          <w:bottom w:w="0" w:type="dxa"/>
                          <w:right w:w="108" w:type="dxa"/>
                        </w:tcMar>
                        <w:hideMark/>
                      </w:tcPr>
                      <w:p w:rsidR="0099333E" w:rsidRDefault="0099333E" w:rsidP="0099333E">
                        <w:pPr>
                          <w:framePr w:hSpace="180" w:wrap="around" w:hAnchor="margin" w:y="-405"/>
                          <w:rPr>
                            <w:rFonts w:ascii="Cambria" w:hAnsi="Cambria"/>
                            <w:sz w:val="20"/>
                            <w:szCs w:val="20"/>
                          </w:rPr>
                        </w:pPr>
                        <w:r>
                          <w:rPr>
                            <w:noProof/>
                          </w:rPr>
                          <w:lastRenderedPageBreak/>
                          <w:drawing>
                            <wp:anchor distT="0" distB="0" distL="114300" distR="114300" simplePos="0" relativeHeight="251665408" behindDoc="1" locked="0" layoutInCell="1" allowOverlap="1">
                              <wp:simplePos x="0" y="0"/>
                              <wp:positionH relativeFrom="column">
                                <wp:posOffset>0</wp:posOffset>
                              </wp:positionH>
                              <wp:positionV relativeFrom="paragraph">
                                <wp:posOffset>0</wp:posOffset>
                              </wp:positionV>
                              <wp:extent cx="2286000" cy="5684520"/>
                              <wp:effectExtent l="0" t="0" r="0" b="0"/>
                              <wp:wrapTight wrapText="bothSides">
                                <wp:wrapPolygon edited="0">
                                  <wp:start x="0" y="0"/>
                                  <wp:lineTo x="0" y="21499"/>
                                  <wp:lineTo x="21420" y="21499"/>
                                  <wp:lineTo x="2142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86000" cy="5684520"/>
                                      </a:xfrm>
                                      <a:prstGeom prst="rect">
                                        <a:avLst/>
                                      </a:prstGeom>
                                      <a:noFill/>
                                    </pic:spPr>
                                  </pic:pic>
                                </a:graphicData>
                              </a:graphic>
                              <wp14:sizeRelH relativeFrom="page">
                                <wp14:pctWidth>0</wp14:pctWidth>
                              </wp14:sizeRelH>
                              <wp14:sizeRelV relativeFrom="page">
                                <wp14:pctHeight>0</wp14:pctHeight>
                              </wp14:sizeRelV>
                            </wp:anchor>
                          </w:drawing>
                        </w:r>
                      </w:p>
                    </w:tc>
                    <w:tc>
                      <w:tcPr>
                        <w:tcW w:w="7924" w:type="dxa"/>
                        <w:tcMar>
                          <w:top w:w="0" w:type="dxa"/>
                          <w:left w:w="108" w:type="dxa"/>
                          <w:bottom w:w="0" w:type="dxa"/>
                          <w:right w:w="108" w:type="dxa"/>
                        </w:tcMar>
                      </w:tcPr>
                      <w:p w:rsidR="0099333E" w:rsidRDefault="0099333E" w:rsidP="0099333E">
                        <w:pPr>
                          <w:pStyle w:val="NoSpacing"/>
                          <w:framePr w:hSpace="180" w:wrap="around" w:hAnchor="margin" w:y="-405"/>
                          <w:rPr>
                            <w:rStyle w:val="Hyperlink"/>
                            <w:b/>
                            <w:bCs/>
                          </w:rPr>
                        </w:pPr>
                        <w:r>
                          <w:rPr>
                            <w:rFonts w:ascii="Cambria" w:hAnsi="Cambria"/>
                            <w:b/>
                            <w:bCs/>
                            <w:sz w:val="20"/>
                            <w:szCs w:val="20"/>
                          </w:rPr>
                          <w:t xml:space="preserve">CIC Insurance post first loss of 297 million after 13 years run: </w:t>
                        </w:r>
                        <w:r>
                          <w:rPr>
                            <w:rFonts w:ascii="Cambria" w:hAnsi="Cambria"/>
                            <w:sz w:val="20"/>
                            <w:szCs w:val="20"/>
                          </w:rPr>
                          <w:t xml:space="preserve">CIC Insurance Group posted a 296.8 M net loss in the year ended December, breaking its 13-year profit making run that goes back to 2007.The insurer's loss in the review came on the back of higher taxation and reduced premium reversing the enter prof of 321.5m recorded a year earlier. </w:t>
                        </w:r>
                        <w:hyperlink r:id="rId15"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 xml:space="preserve">Wealthy Kenyans set for early Covid-19 jab: </w:t>
                        </w:r>
                        <w:r>
                          <w:rPr>
                            <w:rFonts w:ascii="Cambria" w:hAnsi="Cambria"/>
                            <w:sz w:val="20"/>
                            <w:szCs w:val="20"/>
                          </w:rPr>
                          <w:t xml:space="preserve">Kenya has opened talks with a global partnership under the World Health Organization, for local top private hospitals to buy the Covid-19 vaccines for the wealthy Kenyans. Insurance group </w:t>
                        </w:r>
                        <w:proofErr w:type="spellStart"/>
                        <w:r>
                          <w:rPr>
                            <w:rFonts w:ascii="Cambria" w:hAnsi="Cambria"/>
                            <w:sz w:val="20"/>
                            <w:szCs w:val="20"/>
                          </w:rPr>
                          <w:t>Britam</w:t>
                        </w:r>
                        <w:proofErr w:type="spellEnd"/>
                        <w:r>
                          <w:rPr>
                            <w:rFonts w:ascii="Cambria" w:hAnsi="Cambria"/>
                            <w:sz w:val="20"/>
                            <w:szCs w:val="20"/>
                          </w:rPr>
                          <w:t xml:space="preserve"> Holdings plans to sell part of its 48.2 percent stake in mortgage financier HF Group to one of the country's big bank as part of a review of its investment portfolio</w:t>
                        </w:r>
                        <w:r>
                          <w:rPr>
                            <w:rFonts w:ascii="Cambria" w:hAnsi="Cambria"/>
                            <w:b/>
                            <w:bCs/>
                            <w:sz w:val="20"/>
                            <w:szCs w:val="20"/>
                          </w:rPr>
                          <w:t xml:space="preserve">. </w:t>
                        </w:r>
                        <w:hyperlink r:id="rId16"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 xml:space="preserve">HF share gains 46% on </w:t>
                        </w:r>
                        <w:proofErr w:type="spellStart"/>
                        <w:r>
                          <w:rPr>
                            <w:rFonts w:ascii="Cambria" w:hAnsi="Cambria"/>
                            <w:b/>
                            <w:bCs/>
                            <w:sz w:val="20"/>
                            <w:szCs w:val="20"/>
                          </w:rPr>
                          <w:t>Britam</w:t>
                        </w:r>
                        <w:proofErr w:type="spellEnd"/>
                        <w:r>
                          <w:rPr>
                            <w:rFonts w:ascii="Cambria" w:hAnsi="Cambria"/>
                            <w:b/>
                            <w:bCs/>
                            <w:sz w:val="20"/>
                            <w:szCs w:val="20"/>
                          </w:rPr>
                          <w:t xml:space="preserve"> stake sale plan: </w:t>
                        </w:r>
                        <w:r>
                          <w:rPr>
                            <w:rFonts w:ascii="Cambria" w:hAnsi="Cambria"/>
                            <w:sz w:val="20"/>
                            <w:szCs w:val="20"/>
                          </w:rPr>
                          <w:t xml:space="preserve">Mortgage financier HF Group's share price at the NSE has gone up by 46%in the last four days following a disclosure of an intended sale of </w:t>
                        </w:r>
                        <w:proofErr w:type="spellStart"/>
                        <w:proofErr w:type="gramStart"/>
                        <w:r>
                          <w:rPr>
                            <w:rFonts w:ascii="Cambria" w:hAnsi="Cambria"/>
                            <w:sz w:val="20"/>
                            <w:szCs w:val="20"/>
                          </w:rPr>
                          <w:t>Britam</w:t>
                        </w:r>
                        <w:proofErr w:type="spellEnd"/>
                        <w:r>
                          <w:rPr>
                            <w:rFonts w:ascii="Cambria" w:hAnsi="Cambria"/>
                            <w:sz w:val="20"/>
                            <w:szCs w:val="20"/>
                          </w:rPr>
                          <w:t xml:space="preserve"> 's</w:t>
                        </w:r>
                        <w:proofErr w:type="gramEnd"/>
                        <w:r>
                          <w:rPr>
                            <w:rFonts w:ascii="Cambria" w:hAnsi="Cambria"/>
                            <w:sz w:val="20"/>
                            <w:szCs w:val="20"/>
                          </w:rPr>
                          <w:t xml:space="preserve"> stake in the firms to a large bank. The share closed yesterday at Sh4.99 a unit, which is Sh1.57 higher than the week's opening price of Sh3.42. This has seen the lender's market valuation rise by Sh603.8million in the space of a week to hit Sh1.92billion</w:t>
                        </w:r>
                        <w:r>
                          <w:rPr>
                            <w:rFonts w:ascii="Cambria" w:hAnsi="Cambria"/>
                            <w:b/>
                            <w:bCs/>
                            <w:sz w:val="20"/>
                            <w:szCs w:val="20"/>
                          </w:rPr>
                          <w:t>.</w:t>
                        </w:r>
                        <w:r>
                          <w:rPr>
                            <w:rFonts w:ascii="Cambria" w:hAnsi="Cambria"/>
                            <w:sz w:val="20"/>
                            <w:szCs w:val="20"/>
                          </w:rPr>
                          <w:t xml:space="preserve"> </w:t>
                        </w:r>
                        <w:hyperlink r:id="rId17"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SRC to benchmark doctors' pay against East Africa peers:</w:t>
                        </w:r>
                        <w:r>
                          <w:rPr>
                            <w:rFonts w:ascii="Cambria" w:hAnsi="Cambria"/>
                            <w:sz w:val="20"/>
                            <w:szCs w:val="20"/>
                          </w:rPr>
                          <w:t xml:space="preserve"> The salaries’ agency wants to survey earnings of East African Community (EAC) doctors and use the findings to determine the appropriate pay for Kenyan doctors amid continued clamor for pay rises. The Salaries and Remuneration Commission (SRC) is seeking a consultant to carry out a salary survey in public and private hospitals in 264 public and private hospitals spread across six countries. The latest strike came late December when doctors took to the streets to demand better pay, medical insurance cover and protective equipment in the face of Covid-19 pandemic. </w:t>
                        </w:r>
                        <w:hyperlink r:id="rId18"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Pension’s savings can fund Africa eco-plans</w:t>
                        </w:r>
                        <w:r>
                          <w:rPr>
                            <w:rFonts w:ascii="Cambria" w:hAnsi="Cambria"/>
                            <w:sz w:val="20"/>
                            <w:szCs w:val="20"/>
                          </w:rPr>
                          <w:t xml:space="preserve">: According to the Global Impact Investing Network (GIIN), the fastest-growing and largest category of impact investing assets under management by investment source is from pension funds and insurance companies. Pension funds that are putting money in impact investing are from the developed world and very little is happening in terms of the investments of the African pension funds. </w:t>
                        </w:r>
                        <w:hyperlink r:id="rId19"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Private sector credit growth jumps to near five-year high:</w:t>
                        </w:r>
                        <w:r>
                          <w:rPr>
                            <w:rFonts w:ascii="Cambria" w:hAnsi="Cambria"/>
                            <w:sz w:val="20"/>
                            <w:szCs w:val="20"/>
                          </w:rPr>
                          <w:t xml:space="preserve"> The highest growth was recorded on the consumer durables segment at 18.7 per cent, with loans to agriculture, transport and communications, manufacturing and finance and insurance also recording double digit annual growth. This growth bodes well for the economy, which has in recent </w:t>
                        </w:r>
                        <w:r>
                          <w:rPr>
                            <w:rFonts w:ascii="Cambria" w:hAnsi="Cambria"/>
                            <w:sz w:val="20"/>
                            <w:szCs w:val="20"/>
                          </w:rPr>
                          <w:lastRenderedPageBreak/>
                          <w:t xml:space="preserve">years been hurt by sub-optimal access to credit from banks, which have found it easier to lend to government. </w:t>
                        </w:r>
                        <w:hyperlink r:id="rId20"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Tracing Sacco's journey to hitting Sh2bn asset base:</w:t>
                        </w:r>
                        <w:r>
                          <w:rPr>
                            <w:rFonts w:ascii="Cambria" w:hAnsi="Cambria"/>
                            <w:sz w:val="20"/>
                            <w:szCs w:val="20"/>
                          </w:rPr>
                          <w:t xml:space="preserve"> When it was started in 1983 by </w:t>
                        </w:r>
                        <w:proofErr w:type="spellStart"/>
                        <w:r>
                          <w:rPr>
                            <w:rFonts w:ascii="Cambria" w:hAnsi="Cambria"/>
                            <w:sz w:val="20"/>
                            <w:szCs w:val="20"/>
                          </w:rPr>
                          <w:t>Amref</w:t>
                        </w:r>
                        <w:proofErr w:type="spellEnd"/>
                        <w:r>
                          <w:rPr>
                            <w:rFonts w:ascii="Cambria" w:hAnsi="Cambria"/>
                            <w:sz w:val="20"/>
                            <w:szCs w:val="20"/>
                          </w:rPr>
                          <w:t xml:space="preserve"> – now </w:t>
                        </w:r>
                        <w:proofErr w:type="spellStart"/>
                        <w:r>
                          <w:rPr>
                            <w:rFonts w:ascii="Cambria" w:hAnsi="Cambria"/>
                            <w:sz w:val="20"/>
                            <w:szCs w:val="20"/>
                          </w:rPr>
                          <w:t>Amref</w:t>
                        </w:r>
                        <w:proofErr w:type="spellEnd"/>
                        <w:r>
                          <w:rPr>
                            <w:rFonts w:ascii="Cambria" w:hAnsi="Cambria"/>
                            <w:sz w:val="20"/>
                            <w:szCs w:val="20"/>
                          </w:rPr>
                          <w:t xml:space="preserve"> Health Africa) employees — its purpose was to empower members both economically and socially. The scope has however widen, and is now drawing members from other organizations “Previously, the Sacco was categorized as a tier three Sacco whose asset base was less than Sh2 billion.” Credit facilities they provide include development loans for building or buying a home or land. Other facilities are education loans, emergency loans, domestic use merchandise financing and insurance financing. The Sacco last year generated over Sh216 million in income from members lending as well as through plots sold under its subsidiary, </w:t>
                        </w:r>
                        <w:proofErr w:type="spellStart"/>
                        <w:r>
                          <w:rPr>
                            <w:rFonts w:ascii="Cambria" w:hAnsi="Cambria"/>
                            <w:sz w:val="20"/>
                            <w:szCs w:val="20"/>
                          </w:rPr>
                          <w:t>Amref</w:t>
                        </w:r>
                        <w:proofErr w:type="spellEnd"/>
                        <w:r>
                          <w:rPr>
                            <w:rFonts w:ascii="Cambria" w:hAnsi="Cambria"/>
                            <w:sz w:val="20"/>
                            <w:szCs w:val="20"/>
                          </w:rPr>
                          <w:t xml:space="preserve"> Housing Development Company (AHDC). </w:t>
                        </w:r>
                        <w:hyperlink r:id="rId21"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proofErr w:type="spellStart"/>
                        <w:r>
                          <w:rPr>
                            <w:rFonts w:ascii="Cambria" w:hAnsi="Cambria"/>
                            <w:b/>
                            <w:bCs/>
                            <w:sz w:val="20"/>
                            <w:szCs w:val="20"/>
                          </w:rPr>
                          <w:t>Britam</w:t>
                        </w:r>
                        <w:proofErr w:type="spellEnd"/>
                        <w:r>
                          <w:rPr>
                            <w:rFonts w:ascii="Cambria" w:hAnsi="Cambria"/>
                            <w:b/>
                            <w:bCs/>
                            <w:sz w:val="20"/>
                            <w:szCs w:val="20"/>
                          </w:rPr>
                          <w:t xml:space="preserve"> seeks banks to buy HF stake</w:t>
                        </w:r>
                        <w:r>
                          <w:rPr>
                            <w:rFonts w:ascii="Cambria" w:hAnsi="Cambria"/>
                            <w:sz w:val="20"/>
                            <w:szCs w:val="20"/>
                          </w:rPr>
                          <w:t xml:space="preserve">: Insurance group </w:t>
                        </w:r>
                        <w:proofErr w:type="spellStart"/>
                        <w:r>
                          <w:rPr>
                            <w:rFonts w:ascii="Cambria" w:hAnsi="Cambria"/>
                            <w:sz w:val="20"/>
                            <w:szCs w:val="20"/>
                          </w:rPr>
                          <w:t>Britam</w:t>
                        </w:r>
                        <w:proofErr w:type="spellEnd"/>
                        <w:r>
                          <w:rPr>
                            <w:rFonts w:ascii="Cambria" w:hAnsi="Cambria"/>
                            <w:sz w:val="20"/>
                            <w:szCs w:val="20"/>
                          </w:rPr>
                          <w:t xml:space="preserve"> Holdings plans to sell part of its 48.2 percent stake in mortgage financier HF Group to one of the country's big banks as part of a review of its investment portfolio. A director of </w:t>
                        </w:r>
                        <w:proofErr w:type="spellStart"/>
                        <w:r>
                          <w:rPr>
                            <w:rFonts w:ascii="Cambria" w:hAnsi="Cambria"/>
                            <w:sz w:val="20"/>
                            <w:szCs w:val="20"/>
                          </w:rPr>
                          <w:t>Britam</w:t>
                        </w:r>
                        <w:proofErr w:type="spellEnd"/>
                        <w:r>
                          <w:rPr>
                            <w:rFonts w:ascii="Cambria" w:hAnsi="Cambria"/>
                            <w:sz w:val="20"/>
                            <w:szCs w:val="20"/>
                          </w:rPr>
                          <w:t xml:space="preserve"> last week scrapped nine top executive positions, told Business Daily that a transaction adviser has been hired to guide the process, which is expected to be completed by the end of the year. </w:t>
                        </w:r>
                        <w:hyperlink r:id="rId22"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 xml:space="preserve">Priorities humanity in </w:t>
                        </w:r>
                        <w:proofErr w:type="spellStart"/>
                        <w:r>
                          <w:rPr>
                            <w:rFonts w:ascii="Cambria" w:hAnsi="Cambria"/>
                            <w:b/>
                            <w:bCs/>
                            <w:sz w:val="20"/>
                            <w:szCs w:val="20"/>
                          </w:rPr>
                          <w:t>Covid</w:t>
                        </w:r>
                        <w:proofErr w:type="spellEnd"/>
                        <w:r>
                          <w:rPr>
                            <w:rFonts w:ascii="Cambria" w:hAnsi="Cambria"/>
                            <w:b/>
                            <w:bCs/>
                            <w:sz w:val="20"/>
                            <w:szCs w:val="20"/>
                          </w:rPr>
                          <w:t xml:space="preserve"> vaccine, UHC rollout plans:</w:t>
                        </w:r>
                        <w:r>
                          <w:rPr>
                            <w:rFonts w:ascii="Cambria" w:hAnsi="Cambria"/>
                            <w:sz w:val="20"/>
                            <w:szCs w:val="20"/>
                          </w:rPr>
                          <w:t xml:space="preserve"> UHC will not be achieved by fancy technology and complex frameworks: it will be achieved through people, through the political will to do right by citizens, and the citizenry's willingness to trust and co-operate with governments. Covid-19 has eroded many of the gains made towards achieving UHC over the past two decades. But it has reminded us of the ingenuity of the human spirit and shown us that when we join forces toward a common goal we can succeed. </w:t>
                        </w:r>
                        <w:hyperlink r:id="rId23"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b/>
                            <w:bCs/>
                            <w:sz w:val="20"/>
                            <w:szCs w:val="20"/>
                          </w:rPr>
                          <w:t>Pictorial:</w:t>
                        </w:r>
                        <w:r>
                          <w:rPr>
                            <w:rFonts w:ascii="Cambria" w:hAnsi="Cambria"/>
                            <w:sz w:val="20"/>
                            <w:szCs w:val="20"/>
                          </w:rPr>
                          <w:t xml:space="preserve"> Arthur </w:t>
                        </w:r>
                        <w:proofErr w:type="spellStart"/>
                        <w:r>
                          <w:rPr>
                            <w:rFonts w:ascii="Cambria" w:hAnsi="Cambria"/>
                            <w:sz w:val="20"/>
                            <w:szCs w:val="20"/>
                          </w:rPr>
                          <w:t>Oginga</w:t>
                        </w:r>
                        <w:proofErr w:type="spellEnd"/>
                        <w:r>
                          <w:rPr>
                            <w:rFonts w:ascii="Cambria" w:hAnsi="Cambria"/>
                            <w:sz w:val="20"/>
                            <w:szCs w:val="20"/>
                          </w:rPr>
                          <w:t xml:space="preserve">, Group Chief Executive Officer, UAP Old Mutual cuts a ribbon, to officially open the Aga Khan University Hospital's Mountain View Medical center located on third floor of the Mountain view Mall on </w:t>
                        </w:r>
                        <w:proofErr w:type="spellStart"/>
                        <w:r>
                          <w:rPr>
                            <w:rFonts w:ascii="Cambria" w:hAnsi="Cambria"/>
                            <w:sz w:val="20"/>
                            <w:szCs w:val="20"/>
                          </w:rPr>
                          <w:t>Waiyaki</w:t>
                        </w:r>
                        <w:proofErr w:type="spellEnd"/>
                        <w:r>
                          <w:rPr>
                            <w:rFonts w:ascii="Cambria" w:hAnsi="Cambria"/>
                            <w:sz w:val="20"/>
                            <w:szCs w:val="20"/>
                          </w:rPr>
                          <w:t xml:space="preserve"> Way. </w:t>
                        </w:r>
                        <w:hyperlink r:id="rId24"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Style w:val="Hyperlink"/>
                          </w:rPr>
                        </w:pPr>
                        <w:r>
                          <w:rPr>
                            <w:rFonts w:ascii="Cambria" w:hAnsi="Cambria"/>
                            <w:sz w:val="20"/>
                            <w:szCs w:val="20"/>
                          </w:rPr>
                          <w:t xml:space="preserve">Live the life you envision. Secure the life you deserve with </w:t>
                        </w:r>
                        <w:proofErr w:type="spellStart"/>
                        <w:r>
                          <w:rPr>
                            <w:rFonts w:ascii="Cambria" w:hAnsi="Cambria"/>
                            <w:sz w:val="20"/>
                            <w:szCs w:val="20"/>
                          </w:rPr>
                          <w:t>Zamara</w:t>
                        </w:r>
                        <w:proofErr w:type="spellEnd"/>
                        <w:r>
                          <w:rPr>
                            <w:rFonts w:ascii="Cambria" w:hAnsi="Cambria"/>
                            <w:sz w:val="20"/>
                            <w:szCs w:val="20"/>
                          </w:rPr>
                          <w:t xml:space="preserve">. Your trusted pensions, medical and insurance provider. </w:t>
                        </w:r>
                        <w:hyperlink r:id="rId25" w:history="1">
                          <w:r>
                            <w:rPr>
                              <w:rStyle w:val="Hyperlink"/>
                              <w:rFonts w:ascii="Cambria" w:hAnsi="Cambria"/>
                              <w:b/>
                              <w:bCs/>
                              <w:sz w:val="20"/>
                              <w:szCs w:val="20"/>
                            </w:rPr>
                            <w:t>Read more</w:t>
                          </w:r>
                        </w:hyperlink>
                      </w:p>
                      <w:p w:rsidR="0099333E" w:rsidRDefault="0099333E" w:rsidP="0099333E">
                        <w:pPr>
                          <w:pStyle w:val="NoSpacing"/>
                          <w:framePr w:hSpace="180" w:wrap="around" w:hAnchor="margin" w:y="-405"/>
                        </w:pPr>
                      </w:p>
                      <w:p w:rsidR="0099333E" w:rsidRDefault="0099333E" w:rsidP="0099333E">
                        <w:pPr>
                          <w:pStyle w:val="NoSpacing"/>
                          <w:framePr w:hSpace="180" w:wrap="around" w:hAnchor="margin" w:y="-405"/>
                          <w:rPr>
                            <w:rFonts w:ascii="Cambria" w:hAnsi="Cambria"/>
                            <w:sz w:val="20"/>
                            <w:szCs w:val="20"/>
                          </w:rPr>
                        </w:pPr>
                        <w:r>
                          <w:rPr>
                            <w:rFonts w:ascii="Cambria" w:hAnsi="Cambria"/>
                            <w:b/>
                            <w:bCs/>
                            <w:sz w:val="20"/>
                            <w:szCs w:val="20"/>
                          </w:rPr>
                          <w:t>KTDA fights Uhuru order on elections in court row:</w:t>
                        </w:r>
                        <w:r>
                          <w:rPr>
                            <w:rFonts w:ascii="Cambria" w:hAnsi="Cambria"/>
                            <w:sz w:val="20"/>
                            <w:szCs w:val="20"/>
                          </w:rPr>
                          <w:t xml:space="preserve"> Kenya Tea Development Agency Holdings Ltd (KTDA) has sued the government after President Uhuru Kenyatta ordered the election of directors in tea factories before May 12.  The inquiry will look into KTDA's </w:t>
                        </w:r>
                        <w:r>
                          <w:rPr>
                            <w:rFonts w:ascii="Cambria" w:hAnsi="Cambria"/>
                            <w:sz w:val="20"/>
                            <w:szCs w:val="20"/>
                          </w:rPr>
                          <w:lastRenderedPageBreak/>
                          <w:t>activities and those of its subsidiaries, including KTDA Management Services, Chai trading Company, Kenya Tea Packers (</w:t>
                        </w:r>
                        <w:proofErr w:type="spellStart"/>
                        <w:r>
                          <w:rPr>
                            <w:rFonts w:ascii="Cambria" w:hAnsi="Cambria"/>
                            <w:sz w:val="20"/>
                            <w:szCs w:val="20"/>
                          </w:rPr>
                          <w:t>Ketepa</w:t>
                        </w:r>
                        <w:proofErr w:type="spellEnd"/>
                        <w:r>
                          <w:rPr>
                            <w:rFonts w:ascii="Cambria" w:hAnsi="Cambria"/>
                            <w:sz w:val="20"/>
                            <w:szCs w:val="20"/>
                          </w:rPr>
                          <w:t xml:space="preserve">), </w:t>
                        </w:r>
                        <w:proofErr w:type="spellStart"/>
                        <w:r>
                          <w:rPr>
                            <w:rFonts w:ascii="Cambria" w:hAnsi="Cambria"/>
                            <w:sz w:val="20"/>
                            <w:szCs w:val="20"/>
                          </w:rPr>
                          <w:t>Majani</w:t>
                        </w:r>
                        <w:proofErr w:type="spellEnd"/>
                        <w:r>
                          <w:rPr>
                            <w:rFonts w:ascii="Cambria" w:hAnsi="Cambria"/>
                            <w:sz w:val="20"/>
                            <w:szCs w:val="20"/>
                          </w:rPr>
                          <w:t xml:space="preserve"> Insurance Brokers, Greenland </w:t>
                        </w:r>
                        <w:proofErr w:type="spellStart"/>
                        <w:r>
                          <w:rPr>
                            <w:rFonts w:ascii="Cambria" w:hAnsi="Cambria"/>
                            <w:sz w:val="20"/>
                            <w:szCs w:val="20"/>
                          </w:rPr>
                          <w:t>Fedha</w:t>
                        </w:r>
                        <w:proofErr w:type="spellEnd"/>
                        <w:r>
                          <w:rPr>
                            <w:rFonts w:ascii="Cambria" w:hAnsi="Cambria"/>
                            <w:sz w:val="20"/>
                            <w:szCs w:val="20"/>
                          </w:rPr>
                          <w:t xml:space="preserve">, The Tea Machinery and Engineering Company, KTDA power company and the Dubai-based KTDA DMCC. </w:t>
                        </w:r>
                        <w:hyperlink r:id="rId26" w:history="1">
                          <w:r>
                            <w:rPr>
                              <w:rStyle w:val="Hyperlink"/>
                              <w:rFonts w:ascii="Cambria" w:hAnsi="Cambria"/>
                              <w:b/>
                              <w:bCs/>
                              <w:sz w:val="20"/>
                              <w:szCs w:val="20"/>
                            </w:rPr>
                            <w:t>Read more</w:t>
                          </w:r>
                        </w:hyperlink>
                      </w:p>
                    </w:tc>
                  </w:tr>
                </w:tbl>
                <w:p w:rsidR="0099333E" w:rsidRDefault="0099333E" w:rsidP="0099333E">
                  <w:pPr>
                    <w:framePr w:hSpace="180" w:wrap="around" w:hAnchor="margin" w:y="-405"/>
                    <w:rPr>
                      <w:rFonts w:ascii="Times New Roman" w:eastAsia="Times New Roman" w:hAnsi="Times New Roman" w:cs="Times New Roman"/>
                      <w:sz w:val="20"/>
                      <w:szCs w:val="20"/>
                    </w:rPr>
                  </w:pPr>
                </w:p>
              </w:tc>
            </w:tr>
          </w:tbl>
          <w:p w:rsidR="0099333E" w:rsidRDefault="0099333E" w:rsidP="0099333E">
            <w:pPr>
              <w:rPr>
                <w:rFonts w:ascii="Cambria" w:hAnsi="Cambria"/>
                <w:sz w:val="20"/>
                <w:szCs w:val="20"/>
              </w:rPr>
            </w:pPr>
          </w:p>
          <w:p w:rsidR="0099333E" w:rsidRDefault="0099333E" w:rsidP="0099333E">
            <w:pPr>
              <w:shd w:val="clear" w:color="auto" w:fill="FFC000"/>
              <w:rPr>
                <w:rFonts w:ascii="Cambria" w:hAnsi="Cambria"/>
                <w:b/>
                <w:bCs/>
                <w:sz w:val="20"/>
                <w:szCs w:val="20"/>
              </w:rPr>
            </w:pPr>
            <w:r>
              <w:rPr>
                <w:rFonts w:ascii="Cambria" w:hAnsi="Cambria"/>
                <w:b/>
                <w:bCs/>
                <w:sz w:val="20"/>
                <w:szCs w:val="20"/>
                <w:shd w:val="clear" w:color="auto" w:fill="FFCC00"/>
              </w:rPr>
              <w:t>Daily Nation</w:t>
            </w:r>
            <w:r>
              <w:rPr>
                <w:rFonts w:ascii="Cambria" w:hAnsi="Cambria"/>
                <w:b/>
                <w:bCs/>
                <w:sz w:val="20"/>
                <w:szCs w:val="20"/>
              </w:rPr>
              <w:t xml:space="preserve"> </w:t>
            </w:r>
          </w:p>
          <w:p w:rsidR="0099333E" w:rsidRDefault="0099333E" w:rsidP="0099333E">
            <w:pPr>
              <w:rPr>
                <w:rFonts w:ascii="Cambria" w:hAnsi="Cambria"/>
                <w:sz w:val="20"/>
                <w:szCs w:val="20"/>
              </w:rPr>
            </w:pPr>
          </w:p>
          <w:tbl>
            <w:tblPr>
              <w:tblW w:w="0" w:type="dxa"/>
              <w:tblCellMar>
                <w:left w:w="0" w:type="dxa"/>
                <w:right w:w="0" w:type="dxa"/>
              </w:tblCellMar>
              <w:tblLook w:val="04A0" w:firstRow="1" w:lastRow="0" w:firstColumn="1" w:lastColumn="0" w:noHBand="0" w:noVBand="1"/>
            </w:tblPr>
            <w:tblGrid>
              <w:gridCol w:w="4356"/>
              <w:gridCol w:w="7898"/>
            </w:tblGrid>
            <w:tr w:rsidR="0099333E">
              <w:trPr>
                <w:trHeight w:val="3271"/>
              </w:trPr>
              <w:tc>
                <w:tcPr>
                  <w:tcW w:w="4042" w:type="dxa"/>
                  <w:tcMar>
                    <w:top w:w="0" w:type="dxa"/>
                    <w:left w:w="108" w:type="dxa"/>
                    <w:bottom w:w="0" w:type="dxa"/>
                    <w:right w:w="108" w:type="dxa"/>
                  </w:tcMar>
                  <w:hideMark/>
                </w:tcPr>
                <w:p w:rsidR="0099333E" w:rsidRDefault="0099333E" w:rsidP="0099333E">
                  <w:pPr>
                    <w:framePr w:hSpace="180" w:wrap="around" w:hAnchor="margin" w:y="-405"/>
                    <w:rPr>
                      <w:rFonts w:ascii="Cambria" w:hAnsi="Cambria"/>
                      <w:sz w:val="20"/>
                      <w:szCs w:val="20"/>
                    </w:rPr>
                  </w:pPr>
                  <w:r>
                    <w:rPr>
                      <w:noProof/>
                    </w:rPr>
                    <w:lastRenderedPageBreak/>
                    <w:drawing>
                      <wp:inline distT="0" distB="0" distL="0" distR="0">
                        <wp:extent cx="2619375" cy="2943225"/>
                        <wp:effectExtent l="0" t="0" r="9525" b="9525"/>
                        <wp:docPr id="5" name="Picture 5" descr="cid:image013.jpg@01D72485.323C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id:image013.jpg@01D72485.323C9380"/>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619375" cy="2943225"/>
                                </a:xfrm>
                                <a:prstGeom prst="rect">
                                  <a:avLst/>
                                </a:prstGeom>
                                <a:noFill/>
                                <a:ln>
                                  <a:noFill/>
                                </a:ln>
                              </pic:spPr>
                            </pic:pic>
                          </a:graphicData>
                        </a:graphic>
                      </wp:inline>
                    </w:drawing>
                  </w:r>
                </w:p>
              </w:tc>
              <w:tc>
                <w:tcPr>
                  <w:tcW w:w="7898" w:type="dxa"/>
                  <w:tcMar>
                    <w:top w:w="0" w:type="dxa"/>
                    <w:left w:w="108" w:type="dxa"/>
                    <w:bottom w:w="0" w:type="dxa"/>
                    <w:right w:w="108" w:type="dxa"/>
                  </w:tcMar>
                </w:tcPr>
                <w:p w:rsidR="0099333E" w:rsidRDefault="0099333E" w:rsidP="0099333E">
                  <w:pPr>
                    <w:framePr w:hSpace="180" w:wrap="around" w:hAnchor="margin" w:y="-405"/>
                    <w:rPr>
                      <w:rStyle w:val="Hyperlink"/>
                      <w:b/>
                      <w:bCs/>
                    </w:rPr>
                  </w:pPr>
                  <w:r>
                    <w:rPr>
                      <w:rFonts w:ascii="Cambria" w:hAnsi="Cambria"/>
                      <w:b/>
                      <w:bCs/>
                      <w:sz w:val="20"/>
                      <w:szCs w:val="20"/>
                    </w:rPr>
                    <w:t xml:space="preserve">Get insured in your youth…it will be cheaper: </w:t>
                  </w:r>
                  <w:r>
                    <w:rPr>
                      <w:rFonts w:ascii="Cambria" w:hAnsi="Cambria"/>
                      <w:sz w:val="20"/>
                      <w:szCs w:val="20"/>
                    </w:rPr>
                    <w:t xml:space="preserve">Gideon </w:t>
                  </w:r>
                  <w:proofErr w:type="spellStart"/>
                  <w:r>
                    <w:rPr>
                      <w:rFonts w:ascii="Cambria" w:hAnsi="Cambria"/>
                      <w:sz w:val="20"/>
                      <w:szCs w:val="20"/>
                    </w:rPr>
                    <w:t>Bii</w:t>
                  </w:r>
                  <w:proofErr w:type="spellEnd"/>
                  <w:r>
                    <w:rPr>
                      <w:rFonts w:ascii="Cambria" w:hAnsi="Cambria"/>
                      <w:sz w:val="20"/>
                      <w:szCs w:val="20"/>
                    </w:rPr>
                    <w:t xml:space="preserve"> lives for a time when every Kenyan will be able to obtain an insurance cover. To the young insurer and change maker who works at </w:t>
                  </w:r>
                  <w:proofErr w:type="spellStart"/>
                  <w:r>
                    <w:rPr>
                      <w:rFonts w:ascii="Cambria" w:hAnsi="Cambria"/>
                      <w:sz w:val="20"/>
                      <w:szCs w:val="20"/>
                    </w:rPr>
                    <w:t>Minet</w:t>
                  </w:r>
                  <w:proofErr w:type="spellEnd"/>
                  <w:r>
                    <w:rPr>
                      <w:rFonts w:ascii="Cambria" w:hAnsi="Cambria"/>
                      <w:sz w:val="20"/>
                      <w:szCs w:val="20"/>
                    </w:rPr>
                    <w:t xml:space="preserve"> health insurance is a human right. Insurance did not gain traction in the country until about 15 years ago</w:t>
                  </w:r>
                  <w:r>
                    <w:rPr>
                      <w:rFonts w:ascii="Cambria" w:hAnsi="Cambria"/>
                      <w:b/>
                      <w:bCs/>
                      <w:sz w:val="20"/>
                      <w:szCs w:val="20"/>
                    </w:rPr>
                    <w:t xml:space="preserve">. </w:t>
                  </w:r>
                  <w:hyperlink r:id="rId29"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CIC Financials:</w:t>
                  </w:r>
                  <w:r>
                    <w:rPr>
                      <w:rFonts w:ascii="Cambria" w:hAnsi="Cambria"/>
                      <w:sz w:val="20"/>
                      <w:szCs w:val="20"/>
                    </w:rPr>
                    <w:t xml:space="preserve"> The financial statements extract of the financials report of the CIC General Insurance limited which were audited by </w:t>
                  </w:r>
                  <w:proofErr w:type="spellStart"/>
                  <w:r>
                    <w:rPr>
                      <w:rFonts w:ascii="Cambria" w:hAnsi="Cambria"/>
                      <w:sz w:val="20"/>
                      <w:szCs w:val="20"/>
                    </w:rPr>
                    <w:t>PriceWaterhouseCoopers</w:t>
                  </w:r>
                  <w:proofErr w:type="spellEnd"/>
                  <w:r>
                    <w:rPr>
                      <w:rFonts w:ascii="Cambria" w:hAnsi="Cambria"/>
                      <w:sz w:val="20"/>
                      <w:szCs w:val="20"/>
                    </w:rPr>
                    <w:t xml:space="preserve"> LLP and have received an unqualified opinion. </w:t>
                  </w:r>
                  <w:hyperlink r:id="rId30"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Did the GV80 really save Tiger Wood's life?</w:t>
                  </w:r>
                  <w:r>
                    <w:rPr>
                      <w:rFonts w:ascii="Cambria" w:hAnsi="Cambria"/>
                      <w:sz w:val="20"/>
                      <w:szCs w:val="20"/>
                    </w:rPr>
                    <w:t xml:space="preserve"> Focus on the car, instead of the cause of the crash, or even the social and financial implications for Tiger's lead role in an embarrassing incident. Write a scum-sucking repartee with two goals in mind: get enough eyes on that article to warrant the passage a rapidly dwindling paycheck to sweaty palms at the end of the month., and hope desperately that the fawning piece will tug hard enough at the heartstrings of the overpaid PR people for them to say 'Oh, look, the guy is being very kind to us despite our vehicle being involved in a high profile traffic incident, you think we should grant him a free car or we just give him a small 'token of appreciation' that isn't enough to buy insurance cover for that car? </w:t>
                  </w:r>
                  <w:hyperlink r:id="rId31"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Captains of industry want special SME Ministry formed;</w:t>
                  </w:r>
                  <w:r>
                    <w:rPr>
                      <w:rFonts w:ascii="Cambria" w:hAnsi="Cambria"/>
                      <w:sz w:val="20"/>
                      <w:szCs w:val="20"/>
                    </w:rPr>
                    <w:t xml:space="preserve"> Kenya should create an SME Ministry whose mandate would be to nature small business to grow into the next multinationals. Speakers at the Nation Media Group's-driven annual SMEs expo and conference held last week, said the Government needs to consider a special ministry to help grow the sector. Jubilee Holdings Regional CEO, Julius </w:t>
                  </w:r>
                  <w:proofErr w:type="spellStart"/>
                  <w:r>
                    <w:rPr>
                      <w:rFonts w:ascii="Cambria" w:hAnsi="Cambria"/>
                      <w:sz w:val="20"/>
                      <w:szCs w:val="20"/>
                    </w:rPr>
                    <w:t>Kipng'etich</w:t>
                  </w:r>
                  <w:proofErr w:type="spellEnd"/>
                  <w:r>
                    <w:rPr>
                      <w:rFonts w:ascii="Cambria" w:hAnsi="Cambria"/>
                      <w:sz w:val="20"/>
                      <w:szCs w:val="20"/>
                    </w:rPr>
                    <w:t xml:space="preserve">, urged the Government to form a ministry to specifically drive policy for the growth of the SMEs sector, considering it’s the biggest employer in Kenya and contributes up to 34 percent of the country's annual Gross Domestic product. </w:t>
                  </w:r>
                  <w:hyperlink r:id="rId32"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 xml:space="preserve">Your special child needs love, don’t hide them: </w:t>
                  </w:r>
                  <w:r>
                    <w:rPr>
                      <w:rFonts w:ascii="Cambria" w:hAnsi="Cambria"/>
                      <w:sz w:val="20"/>
                      <w:szCs w:val="20"/>
                    </w:rPr>
                    <w:t>According to a research by CPSK, most insurances do not cover for therapy</w:t>
                  </w:r>
                  <w:r>
                    <w:rPr>
                      <w:rFonts w:ascii="Cambria" w:hAnsi="Cambria"/>
                      <w:b/>
                      <w:bCs/>
                      <w:sz w:val="20"/>
                      <w:szCs w:val="20"/>
                    </w:rPr>
                    <w:t xml:space="preserve">. </w:t>
                  </w:r>
                  <w:hyperlink r:id="rId33"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 xml:space="preserve">Pictorial: </w:t>
                  </w:r>
                  <w:r>
                    <w:rPr>
                      <w:rFonts w:ascii="Cambria" w:hAnsi="Cambria"/>
                      <w:sz w:val="20"/>
                      <w:szCs w:val="20"/>
                    </w:rPr>
                    <w:t xml:space="preserve">UAP Old Mutual Group chief executive officer Arthur </w:t>
                  </w:r>
                  <w:proofErr w:type="spellStart"/>
                  <w:r>
                    <w:rPr>
                      <w:rFonts w:ascii="Cambria" w:hAnsi="Cambria"/>
                      <w:sz w:val="20"/>
                      <w:szCs w:val="20"/>
                    </w:rPr>
                    <w:t>Oginga</w:t>
                  </w:r>
                  <w:proofErr w:type="spellEnd"/>
                  <w:r>
                    <w:rPr>
                      <w:rFonts w:ascii="Cambria" w:hAnsi="Cambria"/>
                      <w:sz w:val="20"/>
                      <w:szCs w:val="20"/>
                    </w:rPr>
                    <w:t xml:space="preserve"> cuts a ribbon to officially open Agha Khan University Hospital's Mountain View Medical Center located on the third floor of Mountain View Mall on </w:t>
                  </w:r>
                  <w:proofErr w:type="spellStart"/>
                  <w:r>
                    <w:rPr>
                      <w:rFonts w:ascii="Cambria" w:hAnsi="Cambria"/>
                      <w:sz w:val="20"/>
                      <w:szCs w:val="20"/>
                    </w:rPr>
                    <w:t>Waiyaki</w:t>
                  </w:r>
                  <w:proofErr w:type="spellEnd"/>
                  <w:r>
                    <w:rPr>
                      <w:rFonts w:ascii="Cambria" w:hAnsi="Cambria"/>
                      <w:sz w:val="20"/>
                      <w:szCs w:val="20"/>
                    </w:rPr>
                    <w:t xml:space="preserve"> Way in Nairobi. With him is Mr. Rashid (right), the Hospital Interim CEO</w:t>
                  </w:r>
                  <w:r>
                    <w:rPr>
                      <w:rFonts w:ascii="Cambria" w:hAnsi="Cambria"/>
                      <w:b/>
                      <w:bCs/>
                      <w:sz w:val="20"/>
                      <w:szCs w:val="20"/>
                    </w:rPr>
                    <w:t xml:space="preserve">. </w:t>
                  </w:r>
                  <w:hyperlink r:id="rId34"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Notice:</w:t>
                  </w:r>
                  <w:r>
                    <w:rPr>
                      <w:rFonts w:ascii="Cambria" w:hAnsi="Cambria"/>
                      <w:sz w:val="20"/>
                      <w:szCs w:val="20"/>
                    </w:rPr>
                    <w:t xml:space="preserve"> Madison Better Life: Go ahead, take on the world with Madison </w:t>
                  </w:r>
                  <w:proofErr w:type="spellStart"/>
                  <w:r>
                    <w:rPr>
                      <w:rFonts w:ascii="Cambria" w:hAnsi="Cambria"/>
                      <w:sz w:val="20"/>
                      <w:szCs w:val="20"/>
                    </w:rPr>
                    <w:t>BetterLife</w:t>
                  </w:r>
                  <w:proofErr w:type="spellEnd"/>
                  <w:r>
                    <w:rPr>
                      <w:rFonts w:ascii="Cambria" w:hAnsi="Cambria"/>
                      <w:sz w:val="20"/>
                      <w:szCs w:val="20"/>
                    </w:rPr>
                    <w:t xml:space="preserve"> medical cover. </w:t>
                  </w:r>
                  <w:hyperlink r:id="rId35"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Insurers elect new board chair:</w:t>
                  </w:r>
                  <w:r>
                    <w:rPr>
                      <w:rFonts w:ascii="Cambria" w:hAnsi="Cambria"/>
                      <w:sz w:val="20"/>
                      <w:szCs w:val="20"/>
                    </w:rPr>
                    <w:t xml:space="preserve"> Mr. </w:t>
                  </w:r>
                  <w:proofErr w:type="spellStart"/>
                  <w:r>
                    <w:rPr>
                      <w:rFonts w:ascii="Cambria" w:hAnsi="Cambria"/>
                      <w:sz w:val="20"/>
                      <w:szCs w:val="20"/>
                    </w:rPr>
                    <w:t>Jerim</w:t>
                  </w:r>
                  <w:proofErr w:type="spellEnd"/>
                  <w:r>
                    <w:rPr>
                      <w:rFonts w:ascii="Cambria" w:hAnsi="Cambria"/>
                      <w:sz w:val="20"/>
                      <w:szCs w:val="20"/>
                    </w:rPr>
                    <w:t xml:space="preserve"> Otieno has been elected as board Chairman of the Association of Kenya Insurance (AKI) during its 34th annual general meeting, Mr. Otieno, who serves as UAP Old Mutual Life Insurance Business Group managing director takes over from Fidelity Shield MD Mathew </w:t>
                  </w:r>
                  <w:proofErr w:type="spellStart"/>
                  <w:r>
                    <w:rPr>
                      <w:rFonts w:ascii="Cambria" w:hAnsi="Cambria"/>
                      <w:sz w:val="20"/>
                      <w:szCs w:val="20"/>
                    </w:rPr>
                    <w:t>Koech</w:t>
                  </w:r>
                  <w:proofErr w:type="spellEnd"/>
                  <w:r>
                    <w:rPr>
                      <w:rFonts w:ascii="Cambria" w:hAnsi="Cambria"/>
                      <w:sz w:val="20"/>
                      <w:szCs w:val="20"/>
                    </w:rPr>
                    <w:t xml:space="preserve"> who assumed the position in 2019. </w:t>
                  </w:r>
                  <w:hyperlink r:id="rId36"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lastRenderedPageBreak/>
                    <w:t>New NHIF and recent laws should be executed well:</w:t>
                  </w:r>
                  <w:r>
                    <w:rPr>
                      <w:rFonts w:ascii="Cambria" w:hAnsi="Cambria"/>
                      <w:sz w:val="20"/>
                      <w:szCs w:val="20"/>
                    </w:rPr>
                    <w:t xml:space="preserve"> The new universal health care scheme bill is excellent on paper, but may just remain so if not executed if enough measures are not put into place. NHIF has had its fair share of troubles. </w:t>
                  </w:r>
                  <w:hyperlink r:id="rId37"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r>
                    <w:rPr>
                      <w:rFonts w:ascii="Cambria" w:hAnsi="Cambria"/>
                      <w:b/>
                      <w:bCs/>
                      <w:sz w:val="20"/>
                      <w:szCs w:val="20"/>
                    </w:rPr>
                    <w:t>Effects of new rent and NHIF Laws:</w:t>
                  </w:r>
                  <w:r>
                    <w:rPr>
                      <w:rFonts w:ascii="Cambria" w:hAnsi="Cambria"/>
                      <w:sz w:val="20"/>
                      <w:szCs w:val="20"/>
                    </w:rPr>
                    <w:t xml:space="preserve"> The new rent and NHIF laws are quite sensitive and they affect us directly. Matters of health are quite crucial. </w:t>
                  </w:r>
                  <w:hyperlink r:id="rId38"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sz w:val="20"/>
                      <w:szCs w:val="20"/>
                    </w:rPr>
                  </w:pPr>
                </w:p>
              </w:tc>
            </w:tr>
          </w:tbl>
          <w:p w:rsidR="0099333E" w:rsidRDefault="0099333E" w:rsidP="0099333E">
            <w:pPr>
              <w:shd w:val="clear" w:color="auto" w:fill="FF0000"/>
              <w:rPr>
                <w:rFonts w:ascii="Cambria" w:hAnsi="Cambria"/>
                <w:b/>
                <w:bCs/>
                <w:sz w:val="20"/>
                <w:szCs w:val="20"/>
              </w:rPr>
            </w:pPr>
            <w:r>
              <w:rPr>
                <w:rFonts w:ascii="Cambria" w:hAnsi="Cambria"/>
                <w:b/>
                <w:bCs/>
                <w:sz w:val="20"/>
                <w:szCs w:val="20"/>
                <w:shd w:val="clear" w:color="auto" w:fill="FF0000"/>
              </w:rPr>
              <w:lastRenderedPageBreak/>
              <w:t>The Standard</w:t>
            </w:r>
            <w:r>
              <w:rPr>
                <w:rFonts w:ascii="Cambria" w:hAnsi="Cambria"/>
                <w:b/>
                <w:bCs/>
                <w:sz w:val="20"/>
                <w:szCs w:val="20"/>
              </w:rPr>
              <w:t xml:space="preserve"> </w:t>
            </w:r>
          </w:p>
          <w:tbl>
            <w:tblPr>
              <w:tblW w:w="0" w:type="dxa"/>
              <w:tblCellMar>
                <w:left w:w="0" w:type="dxa"/>
                <w:right w:w="0" w:type="dxa"/>
              </w:tblCellMar>
              <w:tblLook w:val="04A0" w:firstRow="1" w:lastRow="0" w:firstColumn="1" w:lastColumn="0" w:noHBand="0" w:noVBand="1"/>
            </w:tblPr>
            <w:tblGrid>
              <w:gridCol w:w="4230"/>
              <w:gridCol w:w="7710"/>
            </w:tblGrid>
            <w:tr w:rsidR="0099333E">
              <w:trPr>
                <w:trHeight w:val="1649"/>
              </w:trPr>
              <w:tc>
                <w:tcPr>
                  <w:tcW w:w="4230" w:type="dxa"/>
                  <w:tcMar>
                    <w:top w:w="0" w:type="dxa"/>
                    <w:left w:w="108" w:type="dxa"/>
                    <w:bottom w:w="0" w:type="dxa"/>
                    <w:right w:w="108" w:type="dxa"/>
                  </w:tcMar>
                </w:tcPr>
                <w:p w:rsidR="0099333E" w:rsidRDefault="0099333E" w:rsidP="0099333E">
                  <w:pPr>
                    <w:framePr w:hSpace="180" w:wrap="around" w:hAnchor="margin" w:y="-405"/>
                    <w:rPr>
                      <w:rFonts w:ascii="Cambria" w:hAnsi="Cambria"/>
                      <w:sz w:val="20"/>
                      <w:szCs w:val="20"/>
                    </w:rPr>
                  </w:pPr>
                  <w:r>
                    <w:rPr>
                      <w:noProof/>
                    </w:rPr>
                    <w:lastRenderedPageBreak/>
                    <w:drawing>
                      <wp:inline distT="0" distB="0" distL="0" distR="0">
                        <wp:extent cx="1600200" cy="5943600"/>
                        <wp:effectExtent l="0" t="0" r="0" b="0"/>
                        <wp:docPr id="4" name="Picture 4" descr="cid:image014.jpg@01D72485.323C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14.jpg@01D72485.323C938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1600200" cy="5943600"/>
                                </a:xfrm>
                                <a:prstGeom prst="rect">
                                  <a:avLst/>
                                </a:prstGeom>
                                <a:noFill/>
                                <a:ln>
                                  <a:noFill/>
                                </a:ln>
                              </pic:spPr>
                            </pic:pic>
                          </a:graphicData>
                        </a:graphic>
                      </wp:inline>
                    </w:drawing>
                  </w:r>
                </w:p>
                <w:p w:rsidR="0099333E" w:rsidRDefault="0099333E" w:rsidP="0099333E">
                  <w:pPr>
                    <w:framePr w:hSpace="180" w:wrap="around" w:hAnchor="margin" w:y="-405"/>
                    <w:rPr>
                      <w:rFonts w:ascii="Cambria" w:hAnsi="Cambria"/>
                      <w:sz w:val="20"/>
                      <w:szCs w:val="20"/>
                    </w:rPr>
                  </w:pPr>
                </w:p>
                <w:p w:rsidR="0099333E" w:rsidRDefault="0099333E" w:rsidP="0099333E">
                  <w:pPr>
                    <w:framePr w:hSpace="180" w:wrap="around" w:hAnchor="margin" w:y="-405"/>
                    <w:rPr>
                      <w:rFonts w:ascii="Cambria" w:hAnsi="Cambria"/>
                      <w:sz w:val="20"/>
                      <w:szCs w:val="20"/>
                    </w:rPr>
                  </w:pPr>
                </w:p>
                <w:p w:rsidR="0099333E" w:rsidRDefault="0099333E" w:rsidP="0099333E">
                  <w:pPr>
                    <w:framePr w:hSpace="180" w:wrap="around" w:hAnchor="margin" w:y="-405"/>
                    <w:rPr>
                      <w:rFonts w:ascii="Cambria" w:hAnsi="Cambria"/>
                      <w:sz w:val="20"/>
                      <w:szCs w:val="20"/>
                    </w:rPr>
                  </w:pPr>
                </w:p>
                <w:p w:rsidR="0099333E" w:rsidRDefault="0099333E" w:rsidP="0099333E">
                  <w:pPr>
                    <w:framePr w:hSpace="180" w:wrap="around" w:hAnchor="margin" w:y="-405"/>
                    <w:rPr>
                      <w:rFonts w:ascii="Cambria" w:hAnsi="Cambria"/>
                      <w:sz w:val="20"/>
                      <w:szCs w:val="20"/>
                    </w:rPr>
                  </w:pPr>
                </w:p>
                <w:p w:rsidR="0099333E" w:rsidRDefault="0099333E" w:rsidP="0099333E">
                  <w:pPr>
                    <w:framePr w:hSpace="180" w:wrap="around" w:hAnchor="margin" w:y="-405"/>
                    <w:rPr>
                      <w:rFonts w:ascii="Cambria" w:hAnsi="Cambria"/>
                      <w:sz w:val="20"/>
                      <w:szCs w:val="20"/>
                    </w:rPr>
                  </w:pPr>
                </w:p>
              </w:tc>
              <w:tc>
                <w:tcPr>
                  <w:tcW w:w="7710" w:type="dxa"/>
                  <w:tcMar>
                    <w:top w:w="0" w:type="dxa"/>
                    <w:left w:w="108" w:type="dxa"/>
                    <w:bottom w:w="0" w:type="dxa"/>
                    <w:right w:w="108" w:type="dxa"/>
                  </w:tcMar>
                </w:tcPr>
                <w:p w:rsidR="0099333E" w:rsidRDefault="0099333E" w:rsidP="0099333E">
                  <w:pPr>
                    <w:framePr w:hSpace="180" w:wrap="around" w:hAnchor="margin" w:y="-405"/>
                    <w:rPr>
                      <w:rStyle w:val="Hyperlink"/>
                      <w:b/>
                      <w:bCs/>
                    </w:rPr>
                  </w:pPr>
                  <w:r>
                    <w:rPr>
                      <w:rFonts w:ascii="Cambria" w:hAnsi="Cambria"/>
                      <w:b/>
                      <w:bCs/>
                      <w:sz w:val="20"/>
                      <w:szCs w:val="20"/>
                    </w:rPr>
                    <w:lastRenderedPageBreak/>
                    <w:t xml:space="preserve">Lawmakers back bill to end delay of pension: </w:t>
                  </w:r>
                  <w:r>
                    <w:rPr>
                      <w:rFonts w:ascii="Cambria" w:hAnsi="Cambria"/>
                      <w:sz w:val="20"/>
                      <w:szCs w:val="20"/>
                    </w:rPr>
                    <w:t>A proposed law is seeking to introduce timeliness for payment of pension to ensure retirees are not forced to wait for too long. And the law, if passed, will compel the government to pay the cash on time</w:t>
                  </w:r>
                  <w:r>
                    <w:rPr>
                      <w:rFonts w:ascii="Cambria" w:hAnsi="Cambria"/>
                      <w:b/>
                      <w:bCs/>
                      <w:sz w:val="20"/>
                      <w:szCs w:val="20"/>
                    </w:rPr>
                    <w:t xml:space="preserve">. </w:t>
                  </w:r>
                  <w:hyperlink r:id="rId41"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Patients in pain as labs lack chemicals for tests:</w:t>
                  </w:r>
                  <w:r>
                    <w:rPr>
                      <w:rFonts w:ascii="Cambria" w:hAnsi="Cambria"/>
                      <w:sz w:val="20"/>
                      <w:szCs w:val="20"/>
                    </w:rPr>
                    <w:t xml:space="preserve"> When Jane </w:t>
                  </w:r>
                  <w:proofErr w:type="spellStart"/>
                  <w:r>
                    <w:rPr>
                      <w:rFonts w:ascii="Cambria" w:hAnsi="Cambria"/>
                      <w:sz w:val="20"/>
                      <w:szCs w:val="20"/>
                    </w:rPr>
                    <w:t>Achieng</w:t>
                  </w:r>
                  <w:proofErr w:type="spellEnd"/>
                  <w:r>
                    <w:rPr>
                      <w:rFonts w:ascii="Cambria" w:hAnsi="Cambria"/>
                      <w:sz w:val="20"/>
                      <w:szCs w:val="20"/>
                    </w:rPr>
                    <w:t xml:space="preserve"> visited Kisumu County Referral Hospital for medication on Monday, she was optimistic the process would be smooth. Since the onset of UHC, </w:t>
                  </w:r>
                  <w:proofErr w:type="spellStart"/>
                  <w:r>
                    <w:rPr>
                      <w:rFonts w:ascii="Cambria" w:hAnsi="Cambria"/>
                      <w:sz w:val="20"/>
                      <w:szCs w:val="20"/>
                    </w:rPr>
                    <w:t>Olouch</w:t>
                  </w:r>
                  <w:proofErr w:type="spellEnd"/>
                  <w:r>
                    <w:rPr>
                      <w:rFonts w:ascii="Cambria" w:hAnsi="Cambria"/>
                      <w:sz w:val="20"/>
                      <w:szCs w:val="20"/>
                    </w:rPr>
                    <w:t xml:space="preserve"> said, </w:t>
                  </w:r>
                  <w:proofErr w:type="gramStart"/>
                  <w:r>
                    <w:rPr>
                      <w:rFonts w:ascii="Cambria" w:hAnsi="Cambria"/>
                      <w:sz w:val="20"/>
                      <w:szCs w:val="20"/>
                    </w:rPr>
                    <w:t>the</w:t>
                  </w:r>
                  <w:proofErr w:type="gramEnd"/>
                  <w:r>
                    <w:rPr>
                      <w:rFonts w:ascii="Cambria" w:hAnsi="Cambria"/>
                      <w:sz w:val="20"/>
                      <w:szCs w:val="20"/>
                    </w:rPr>
                    <w:t xml:space="preserve"> best KEMSA has done is supply reagents at 22 per cent capacity. </w:t>
                  </w:r>
                  <w:hyperlink r:id="rId42"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Notice: </w:t>
                  </w:r>
                  <w:r>
                    <w:rPr>
                      <w:rFonts w:ascii="Cambria" w:hAnsi="Cambria"/>
                      <w:sz w:val="20"/>
                      <w:szCs w:val="20"/>
                    </w:rPr>
                    <w:t>Sanlam Kenya Plc Results: Audited financial statements for the period ended 31 December 2020</w:t>
                  </w:r>
                  <w:r>
                    <w:rPr>
                      <w:rFonts w:ascii="Cambria" w:hAnsi="Cambria"/>
                      <w:b/>
                      <w:bCs/>
                      <w:sz w:val="20"/>
                      <w:szCs w:val="20"/>
                    </w:rPr>
                    <w:t xml:space="preserve">. </w:t>
                  </w:r>
                  <w:hyperlink r:id="rId43"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Notice: </w:t>
                  </w:r>
                  <w:r>
                    <w:rPr>
                      <w:rFonts w:ascii="Cambria" w:hAnsi="Cambria"/>
                      <w:sz w:val="20"/>
                      <w:szCs w:val="20"/>
                    </w:rPr>
                    <w:t xml:space="preserve">The financial statements extract of the financials report of the CIC General Insurance limited which were audited by </w:t>
                  </w:r>
                  <w:proofErr w:type="spellStart"/>
                  <w:r>
                    <w:rPr>
                      <w:rFonts w:ascii="Cambria" w:hAnsi="Cambria"/>
                      <w:sz w:val="20"/>
                      <w:szCs w:val="20"/>
                    </w:rPr>
                    <w:t>PriceWaterhouseCoopers</w:t>
                  </w:r>
                  <w:proofErr w:type="spellEnd"/>
                  <w:r>
                    <w:rPr>
                      <w:rFonts w:ascii="Cambria" w:hAnsi="Cambria"/>
                      <w:sz w:val="20"/>
                      <w:szCs w:val="20"/>
                    </w:rPr>
                    <w:t xml:space="preserve"> LLP and have received an unqualified opinion.</w:t>
                  </w:r>
                  <w:r>
                    <w:rPr>
                      <w:rFonts w:ascii="Cambria" w:hAnsi="Cambria"/>
                      <w:b/>
                      <w:bCs/>
                      <w:sz w:val="20"/>
                      <w:szCs w:val="20"/>
                    </w:rPr>
                    <w:t xml:space="preserve"> </w:t>
                  </w:r>
                  <w:hyperlink r:id="rId44"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proofErr w:type="spellStart"/>
                  <w:r>
                    <w:rPr>
                      <w:rFonts w:ascii="Cambria" w:hAnsi="Cambria"/>
                      <w:b/>
                      <w:bCs/>
                      <w:sz w:val="20"/>
                      <w:szCs w:val="20"/>
                    </w:rPr>
                    <w:t>Reit</w:t>
                  </w:r>
                  <w:proofErr w:type="spellEnd"/>
                  <w:r>
                    <w:rPr>
                      <w:rFonts w:ascii="Cambria" w:hAnsi="Cambria"/>
                      <w:b/>
                      <w:bCs/>
                      <w:sz w:val="20"/>
                      <w:szCs w:val="20"/>
                    </w:rPr>
                    <w:t xml:space="preserve"> market struggles for investors:</w:t>
                  </w:r>
                  <w:r>
                    <w:rPr>
                      <w:rFonts w:ascii="Cambria" w:hAnsi="Cambria"/>
                      <w:sz w:val="20"/>
                      <w:szCs w:val="20"/>
                    </w:rPr>
                    <w:t xml:space="preserve"> The first full year financial results for Kenya's first and only Real Listed Investment Trust (</w:t>
                  </w:r>
                  <w:proofErr w:type="spellStart"/>
                  <w:r>
                    <w:rPr>
                      <w:rFonts w:ascii="Cambria" w:hAnsi="Cambria"/>
                      <w:sz w:val="20"/>
                      <w:szCs w:val="20"/>
                    </w:rPr>
                    <w:t>Reit</w:t>
                  </w:r>
                  <w:proofErr w:type="spellEnd"/>
                  <w:r>
                    <w:rPr>
                      <w:rFonts w:ascii="Cambria" w:hAnsi="Cambria"/>
                      <w:sz w:val="20"/>
                      <w:szCs w:val="20"/>
                    </w:rPr>
                    <w:t xml:space="preserve">) have just been released since its management changed hands. Distributable earnings to unit holders of the ILAM </w:t>
                  </w:r>
                  <w:proofErr w:type="spellStart"/>
                  <w:r>
                    <w:rPr>
                      <w:rFonts w:ascii="Cambria" w:hAnsi="Cambria"/>
                      <w:sz w:val="20"/>
                      <w:szCs w:val="20"/>
                    </w:rPr>
                    <w:t>Fahari-Reit</w:t>
                  </w:r>
                  <w:proofErr w:type="spellEnd"/>
                  <w:r>
                    <w:rPr>
                      <w:rFonts w:ascii="Cambria" w:hAnsi="Cambria"/>
                      <w:sz w:val="20"/>
                      <w:szCs w:val="20"/>
                    </w:rPr>
                    <w:t xml:space="preserve"> were announce at 74cents per unit compared to 80 cents per unit in December 2019.  'They own prime property and know what they are doing and are a locally established branded with diverse businesses including insurance'. </w:t>
                  </w:r>
                  <w:hyperlink r:id="rId45"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ICEA-Lion </w:t>
                  </w:r>
                  <w:proofErr w:type="spellStart"/>
                  <w:r>
                    <w:rPr>
                      <w:rFonts w:ascii="Cambria" w:hAnsi="Cambria"/>
                      <w:b/>
                      <w:bCs/>
                      <w:sz w:val="20"/>
                      <w:szCs w:val="20"/>
                    </w:rPr>
                    <w:t>Reit</w:t>
                  </w:r>
                  <w:proofErr w:type="spellEnd"/>
                  <w:r>
                    <w:rPr>
                      <w:rFonts w:ascii="Cambria" w:hAnsi="Cambria"/>
                      <w:b/>
                      <w:bCs/>
                      <w:sz w:val="20"/>
                      <w:szCs w:val="20"/>
                    </w:rPr>
                    <w:t xml:space="preserve"> profit dips 16pc:</w:t>
                  </w:r>
                  <w:r>
                    <w:rPr>
                      <w:rFonts w:ascii="Cambria" w:hAnsi="Cambria"/>
                      <w:sz w:val="20"/>
                      <w:szCs w:val="20"/>
                    </w:rPr>
                    <w:t xml:space="preserve"> Listed property fund ILAM </w:t>
                  </w:r>
                  <w:proofErr w:type="spellStart"/>
                  <w:r>
                    <w:rPr>
                      <w:rFonts w:ascii="Cambria" w:hAnsi="Cambria"/>
                      <w:sz w:val="20"/>
                      <w:szCs w:val="20"/>
                    </w:rPr>
                    <w:t>Fahari</w:t>
                  </w:r>
                  <w:proofErr w:type="spellEnd"/>
                  <w:r>
                    <w:rPr>
                      <w:rFonts w:ascii="Cambria" w:hAnsi="Cambria"/>
                      <w:sz w:val="20"/>
                      <w:szCs w:val="20"/>
                    </w:rPr>
                    <w:t xml:space="preserve"> I-</w:t>
                  </w:r>
                  <w:proofErr w:type="spellStart"/>
                  <w:r>
                    <w:rPr>
                      <w:rFonts w:ascii="Cambria" w:hAnsi="Cambria"/>
                      <w:sz w:val="20"/>
                      <w:szCs w:val="20"/>
                    </w:rPr>
                    <w:t>Reit</w:t>
                  </w:r>
                  <w:proofErr w:type="spellEnd"/>
                  <w:r>
                    <w:rPr>
                      <w:rFonts w:ascii="Cambria" w:hAnsi="Cambria"/>
                      <w:sz w:val="20"/>
                      <w:szCs w:val="20"/>
                    </w:rPr>
                    <w:t xml:space="preserve"> posted a 16 percent fall in profit for the year ended December 2020, attributed to the revolution of property on a year hammered by the Covid-19 pandemic. This saw its net profit stand at Sh148 million compared to SH175.2 million recorded the previous year. The firm’s distributable earnings reduced to 74cents per unit-to-unit holders, compared to 80 cents per unit in December 2019.' The real estate market was hard hit by Covid-19 pandemic with most tenants, especially in the retail sector, facing the biggest challenges. </w:t>
                  </w:r>
                  <w:hyperlink r:id="rId46"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So you want to get into </w:t>
                  </w:r>
                  <w:proofErr w:type="spellStart"/>
                  <w:r>
                    <w:rPr>
                      <w:rFonts w:ascii="Cambria" w:hAnsi="Cambria"/>
                      <w:b/>
                      <w:bCs/>
                      <w:sz w:val="20"/>
                      <w:szCs w:val="20"/>
                    </w:rPr>
                    <w:t>matatu</w:t>
                  </w:r>
                  <w:proofErr w:type="spellEnd"/>
                  <w:r>
                    <w:rPr>
                      <w:rFonts w:ascii="Cambria" w:hAnsi="Cambria"/>
                      <w:b/>
                      <w:bCs/>
                      <w:sz w:val="20"/>
                      <w:szCs w:val="20"/>
                    </w:rPr>
                    <w:t xml:space="preserve"> business?</w:t>
                  </w:r>
                  <w:r>
                    <w:rPr>
                      <w:rFonts w:ascii="Cambria" w:hAnsi="Cambria"/>
                      <w:sz w:val="20"/>
                      <w:szCs w:val="20"/>
                    </w:rPr>
                    <w:t xml:space="preserve"> You need to get genuine PSV insurance from a reliable and reputable insurance company. </w:t>
                  </w:r>
                  <w:hyperlink r:id="rId47"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New Appointment:</w:t>
                  </w:r>
                  <w:r>
                    <w:rPr>
                      <w:rFonts w:ascii="Cambria" w:hAnsi="Cambria"/>
                      <w:sz w:val="20"/>
                      <w:szCs w:val="20"/>
                    </w:rPr>
                    <w:t xml:space="preserve"> The Board of Kenya Airways PLC is pleased to announce the appointment of Mr. </w:t>
                  </w:r>
                  <w:proofErr w:type="spellStart"/>
                  <w:r>
                    <w:rPr>
                      <w:rFonts w:ascii="Cambria" w:hAnsi="Cambria"/>
                      <w:sz w:val="20"/>
                      <w:szCs w:val="20"/>
                    </w:rPr>
                    <w:t>Habil</w:t>
                  </w:r>
                  <w:proofErr w:type="spellEnd"/>
                  <w:r>
                    <w:rPr>
                      <w:rFonts w:ascii="Cambria" w:hAnsi="Cambria"/>
                      <w:sz w:val="20"/>
                      <w:szCs w:val="20"/>
                    </w:rPr>
                    <w:t xml:space="preserve"> A. </w:t>
                  </w:r>
                  <w:proofErr w:type="spellStart"/>
                  <w:r>
                    <w:rPr>
                      <w:rFonts w:ascii="Cambria" w:hAnsi="Cambria"/>
                      <w:sz w:val="20"/>
                      <w:szCs w:val="20"/>
                    </w:rPr>
                    <w:t>Waswani</w:t>
                  </w:r>
                  <w:proofErr w:type="spellEnd"/>
                  <w:r>
                    <w:rPr>
                      <w:rFonts w:ascii="Cambria" w:hAnsi="Cambria"/>
                      <w:sz w:val="20"/>
                      <w:szCs w:val="20"/>
                    </w:rPr>
                    <w:t xml:space="preserve"> as the company secretary immediately. Mr. </w:t>
                  </w:r>
                  <w:proofErr w:type="spellStart"/>
                  <w:r>
                    <w:rPr>
                      <w:rFonts w:ascii="Cambria" w:hAnsi="Cambria"/>
                      <w:sz w:val="20"/>
                      <w:szCs w:val="20"/>
                    </w:rPr>
                    <w:t>Waswani</w:t>
                  </w:r>
                  <w:proofErr w:type="spellEnd"/>
                  <w:r>
                    <w:rPr>
                      <w:rFonts w:ascii="Cambria" w:hAnsi="Cambria"/>
                      <w:sz w:val="20"/>
                      <w:szCs w:val="20"/>
                    </w:rPr>
                    <w:t xml:space="preserve"> has over 19 years of corporate and commercial law experience having worked </w:t>
                  </w:r>
                  <w:r>
                    <w:rPr>
                      <w:rFonts w:ascii="Cambria" w:hAnsi="Cambria"/>
                      <w:sz w:val="20"/>
                      <w:szCs w:val="20"/>
                    </w:rPr>
                    <w:lastRenderedPageBreak/>
                    <w:t xml:space="preserve">in similar positions at National Bank of Kenya, Kenya Reinsurance Corporation Limited, and Diamond Trust Bank Kenya Limited (DTB), all publicly listed </w:t>
                  </w:r>
                  <w:proofErr w:type="spellStart"/>
                  <w:r>
                    <w:rPr>
                      <w:rFonts w:ascii="Cambria" w:hAnsi="Cambria"/>
                      <w:sz w:val="20"/>
                      <w:szCs w:val="20"/>
                    </w:rPr>
                    <w:t>institutions.</w:t>
                  </w:r>
                  <w:hyperlink r:id="rId48" w:history="1">
                    <w:r>
                      <w:rPr>
                        <w:rStyle w:val="Hyperlink"/>
                        <w:rFonts w:ascii="Cambria" w:hAnsi="Cambria"/>
                        <w:b/>
                        <w:bCs/>
                        <w:sz w:val="20"/>
                        <w:szCs w:val="20"/>
                      </w:rPr>
                      <w:t>Read</w:t>
                    </w:r>
                    <w:proofErr w:type="spellEnd"/>
                    <w:r>
                      <w:rPr>
                        <w:rStyle w:val="Hyperlink"/>
                        <w:rFonts w:ascii="Cambria" w:hAnsi="Cambria"/>
                        <w:b/>
                        <w:bCs/>
                        <w:sz w:val="20"/>
                        <w:szCs w:val="20"/>
                      </w:rPr>
                      <w:t xml:space="preserve">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Lessons for managers from great </w:t>
                  </w:r>
                  <w:proofErr w:type="spellStart"/>
                  <w:r>
                    <w:rPr>
                      <w:rFonts w:ascii="Cambria" w:hAnsi="Cambria"/>
                      <w:b/>
                      <w:bCs/>
                      <w:sz w:val="20"/>
                      <w:szCs w:val="20"/>
                    </w:rPr>
                    <w:t>Shaka</w:t>
                  </w:r>
                  <w:proofErr w:type="spellEnd"/>
                  <w:r>
                    <w:rPr>
                      <w:rFonts w:ascii="Cambria" w:hAnsi="Cambria"/>
                      <w:b/>
                      <w:bCs/>
                      <w:sz w:val="20"/>
                      <w:szCs w:val="20"/>
                    </w:rPr>
                    <w:t xml:space="preserve"> Zulu: </w:t>
                  </w:r>
                  <w:proofErr w:type="spellStart"/>
                  <w:r>
                    <w:rPr>
                      <w:rFonts w:ascii="Cambria" w:hAnsi="Cambria"/>
                      <w:sz w:val="20"/>
                      <w:szCs w:val="20"/>
                    </w:rPr>
                    <w:t>Shaka</w:t>
                  </w:r>
                  <w:proofErr w:type="spellEnd"/>
                  <w:r>
                    <w:rPr>
                      <w:rFonts w:ascii="Cambria" w:hAnsi="Cambria"/>
                      <w:sz w:val="20"/>
                      <w:szCs w:val="20"/>
                    </w:rPr>
                    <w:t xml:space="preserve"> Zulu was one of Africa's greatest generals. From a small South African tribe, he built a massive empire that crisscrossed the whole South Africa and extended as far North as Zimbabwe, Zambia and large parts of East Africa. Last week </w:t>
                  </w:r>
                  <w:proofErr w:type="spellStart"/>
                  <w:r>
                    <w:rPr>
                      <w:rFonts w:ascii="Cambria" w:hAnsi="Cambria"/>
                      <w:sz w:val="20"/>
                      <w:szCs w:val="20"/>
                    </w:rPr>
                    <w:t>Britam</w:t>
                  </w:r>
                  <w:proofErr w:type="spellEnd"/>
                  <w:r>
                    <w:rPr>
                      <w:rFonts w:ascii="Cambria" w:hAnsi="Cambria"/>
                      <w:sz w:val="20"/>
                      <w:szCs w:val="20"/>
                    </w:rPr>
                    <w:t xml:space="preserve"> reorganized and reduced its senior managers from 22 to 14; a clear sign that the organization had grown fat.</w:t>
                  </w:r>
                  <w:r>
                    <w:rPr>
                      <w:rFonts w:ascii="Cambria" w:hAnsi="Cambria"/>
                      <w:b/>
                      <w:bCs/>
                      <w:sz w:val="20"/>
                      <w:szCs w:val="20"/>
                    </w:rPr>
                    <w:t xml:space="preserve"> </w:t>
                  </w:r>
                  <w:hyperlink r:id="rId49"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AAR donates beehives to Daystar University: </w:t>
                  </w:r>
                  <w:r>
                    <w:rPr>
                      <w:rFonts w:ascii="Cambria" w:hAnsi="Cambria"/>
                      <w:sz w:val="20"/>
                      <w:szCs w:val="20"/>
                    </w:rPr>
                    <w:t xml:space="preserve">Daystar Vice Chancellor Laban Ayiro (Left). Planning and Entrepreneurship Director Duncan </w:t>
                  </w:r>
                  <w:proofErr w:type="spellStart"/>
                  <w:r>
                    <w:rPr>
                      <w:rFonts w:ascii="Cambria" w:hAnsi="Cambria"/>
                      <w:sz w:val="20"/>
                      <w:szCs w:val="20"/>
                    </w:rPr>
                    <w:t>Irungu</w:t>
                  </w:r>
                  <w:proofErr w:type="spellEnd"/>
                  <w:r>
                    <w:rPr>
                      <w:rFonts w:ascii="Cambria" w:hAnsi="Cambria"/>
                      <w:sz w:val="20"/>
                      <w:szCs w:val="20"/>
                    </w:rPr>
                    <w:t xml:space="preserve"> and AAR Insurance Kenya Marketing and Customer Experiencing Manager Nekesa examine one of the 10 beehives.</w:t>
                  </w:r>
                  <w:r>
                    <w:rPr>
                      <w:rFonts w:ascii="Cambria" w:hAnsi="Cambria"/>
                      <w:b/>
                      <w:bCs/>
                      <w:sz w:val="20"/>
                      <w:szCs w:val="20"/>
                    </w:rPr>
                    <w:t xml:space="preserve"> </w:t>
                  </w:r>
                  <w:hyperlink r:id="rId50"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Winfred </w:t>
                  </w:r>
                  <w:proofErr w:type="spellStart"/>
                  <w:r>
                    <w:rPr>
                      <w:rFonts w:ascii="Cambria" w:hAnsi="Cambria"/>
                      <w:b/>
                      <w:bCs/>
                      <w:sz w:val="20"/>
                      <w:szCs w:val="20"/>
                    </w:rPr>
                    <w:t>Nyambura</w:t>
                  </w:r>
                  <w:proofErr w:type="spellEnd"/>
                  <w:r>
                    <w:rPr>
                      <w:rFonts w:ascii="Cambria" w:hAnsi="Cambria"/>
                      <w:b/>
                      <w:bCs/>
                      <w:sz w:val="20"/>
                      <w:szCs w:val="20"/>
                    </w:rPr>
                    <w:t xml:space="preserve"> Ndung'u</w:t>
                  </w:r>
                  <w:proofErr w:type="gramStart"/>
                  <w:r>
                    <w:rPr>
                      <w:rFonts w:ascii="Cambria" w:hAnsi="Cambria"/>
                      <w:b/>
                      <w:bCs/>
                      <w:sz w:val="20"/>
                      <w:szCs w:val="20"/>
                    </w:rPr>
                    <w:t>,44</w:t>
                  </w:r>
                  <w:proofErr w:type="gramEnd"/>
                  <w:r>
                    <w:rPr>
                      <w:rFonts w:ascii="Cambria" w:hAnsi="Cambria"/>
                      <w:b/>
                      <w:bCs/>
                      <w:sz w:val="20"/>
                      <w:szCs w:val="20"/>
                    </w:rPr>
                    <w:t xml:space="preserve">: </w:t>
                  </w:r>
                  <w:r>
                    <w:rPr>
                      <w:rFonts w:ascii="Cambria" w:hAnsi="Cambria"/>
                      <w:sz w:val="20"/>
                      <w:szCs w:val="20"/>
                    </w:rPr>
                    <w:t xml:space="preserve">She is the Founder/ Commercial Director of The Clay Republic, a company that deals in pure clay products aimed at improving health and empowering traditional potters. She has worked with various firms including </w:t>
                  </w:r>
                  <w:proofErr w:type="spellStart"/>
                  <w:r>
                    <w:rPr>
                      <w:rFonts w:ascii="Cambria" w:hAnsi="Cambria"/>
                      <w:sz w:val="20"/>
                      <w:szCs w:val="20"/>
                    </w:rPr>
                    <w:t>Buyline</w:t>
                  </w:r>
                  <w:proofErr w:type="spellEnd"/>
                  <w:r>
                    <w:rPr>
                      <w:rFonts w:ascii="Cambria" w:hAnsi="Cambria"/>
                      <w:sz w:val="20"/>
                      <w:szCs w:val="20"/>
                    </w:rPr>
                    <w:t xml:space="preserve"> Industries Limited, </w:t>
                  </w:r>
                  <w:proofErr w:type="spellStart"/>
                  <w:r>
                    <w:rPr>
                      <w:rFonts w:ascii="Cambria" w:hAnsi="Cambria"/>
                      <w:sz w:val="20"/>
                      <w:szCs w:val="20"/>
                    </w:rPr>
                    <w:t>Britam</w:t>
                  </w:r>
                  <w:proofErr w:type="spellEnd"/>
                  <w:r>
                    <w:rPr>
                      <w:rFonts w:ascii="Cambria" w:hAnsi="Cambria"/>
                      <w:sz w:val="20"/>
                      <w:szCs w:val="20"/>
                    </w:rPr>
                    <w:t xml:space="preserve"> and </w:t>
                  </w:r>
                  <w:proofErr w:type="spellStart"/>
                  <w:r>
                    <w:rPr>
                      <w:rFonts w:ascii="Cambria" w:hAnsi="Cambria"/>
                      <w:sz w:val="20"/>
                      <w:szCs w:val="20"/>
                    </w:rPr>
                    <w:t>Cytonn</w:t>
                  </w:r>
                  <w:proofErr w:type="spellEnd"/>
                  <w:r>
                    <w:rPr>
                      <w:rFonts w:ascii="Cambria" w:hAnsi="Cambria"/>
                      <w:b/>
                      <w:bCs/>
                      <w:sz w:val="20"/>
                      <w:szCs w:val="20"/>
                    </w:rPr>
                    <w:t xml:space="preserve">. </w:t>
                  </w:r>
                  <w:hyperlink r:id="rId51" w:history="1">
                    <w:r>
                      <w:rPr>
                        <w:rStyle w:val="Hyperlink"/>
                        <w:rFonts w:ascii="Cambria" w:hAnsi="Cambria"/>
                        <w:b/>
                        <w:bCs/>
                        <w:sz w:val="20"/>
                        <w:szCs w:val="20"/>
                      </w:rPr>
                      <w:t>Read more</w:t>
                    </w:r>
                  </w:hyperlink>
                </w:p>
              </w:tc>
            </w:tr>
          </w:tbl>
          <w:p w:rsidR="0099333E" w:rsidRDefault="0099333E" w:rsidP="0099333E">
            <w:pPr>
              <w:shd w:val="clear" w:color="auto" w:fill="0070C0"/>
              <w:rPr>
                <w:rFonts w:ascii="Cambria" w:hAnsi="Cambria"/>
                <w:sz w:val="20"/>
                <w:szCs w:val="20"/>
              </w:rPr>
            </w:pPr>
            <w:r>
              <w:rPr>
                <w:rFonts w:ascii="Cambria" w:hAnsi="Cambria"/>
                <w:sz w:val="20"/>
                <w:szCs w:val="20"/>
              </w:rPr>
              <w:lastRenderedPageBreak/>
              <w:t>Star</w:t>
            </w:r>
          </w:p>
          <w:tbl>
            <w:tblPr>
              <w:tblW w:w="0" w:type="dxa"/>
              <w:tblCellMar>
                <w:left w:w="0" w:type="dxa"/>
                <w:right w:w="0" w:type="dxa"/>
              </w:tblCellMar>
              <w:tblLook w:val="04A0" w:firstRow="1" w:lastRow="0" w:firstColumn="1" w:lastColumn="0" w:noHBand="0" w:noVBand="1"/>
            </w:tblPr>
            <w:tblGrid>
              <w:gridCol w:w="4386"/>
              <w:gridCol w:w="7831"/>
            </w:tblGrid>
            <w:tr w:rsidR="0099333E">
              <w:trPr>
                <w:trHeight w:val="2624"/>
              </w:trPr>
              <w:tc>
                <w:tcPr>
                  <w:tcW w:w="4065" w:type="dxa"/>
                  <w:tcMar>
                    <w:top w:w="0" w:type="dxa"/>
                    <w:left w:w="108" w:type="dxa"/>
                    <w:bottom w:w="0" w:type="dxa"/>
                    <w:right w:w="108" w:type="dxa"/>
                  </w:tcMar>
                  <w:hideMark/>
                </w:tcPr>
                <w:p w:rsidR="0099333E" w:rsidRDefault="0099333E" w:rsidP="0099333E">
                  <w:pPr>
                    <w:framePr w:hSpace="180" w:wrap="around" w:hAnchor="margin" w:y="-405"/>
                    <w:rPr>
                      <w:rFonts w:ascii="Cambria" w:hAnsi="Cambria"/>
                      <w:sz w:val="20"/>
                      <w:szCs w:val="20"/>
                    </w:rPr>
                  </w:pPr>
                  <w:r>
                    <w:rPr>
                      <w:noProof/>
                    </w:rPr>
                    <w:drawing>
                      <wp:inline distT="0" distB="0" distL="0" distR="0">
                        <wp:extent cx="2647950" cy="1562100"/>
                        <wp:effectExtent l="0" t="0" r="0" b="0"/>
                        <wp:docPr id="3" name="Picture 3" descr="cid:image015.jpg@01D72485.323C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id:image015.jpg@01D72485.323C9380"/>
                                <pic:cNvPicPr>
                                  <a:picLocks noChangeAspect="1" noChangeArrowheads="1"/>
                                </pic:cNvPicPr>
                              </pic:nvPicPr>
                              <pic:blipFill>
                                <a:blip r:embed="rId52" r:link="rId53">
                                  <a:extLst>
                                    <a:ext uri="{28A0092B-C50C-407E-A947-70E740481C1C}">
                                      <a14:useLocalDpi xmlns:a14="http://schemas.microsoft.com/office/drawing/2010/main" val="0"/>
                                    </a:ext>
                                  </a:extLst>
                                </a:blip>
                                <a:srcRect/>
                                <a:stretch>
                                  <a:fillRect/>
                                </a:stretch>
                              </pic:blipFill>
                              <pic:spPr bwMode="auto">
                                <a:xfrm>
                                  <a:off x="0" y="0"/>
                                  <a:ext cx="2647950" cy="1562100"/>
                                </a:xfrm>
                                <a:prstGeom prst="rect">
                                  <a:avLst/>
                                </a:prstGeom>
                                <a:noFill/>
                                <a:ln>
                                  <a:noFill/>
                                </a:ln>
                              </pic:spPr>
                            </pic:pic>
                          </a:graphicData>
                        </a:graphic>
                      </wp:inline>
                    </w:drawing>
                  </w:r>
                </w:p>
              </w:tc>
              <w:tc>
                <w:tcPr>
                  <w:tcW w:w="7831" w:type="dxa"/>
                  <w:tcMar>
                    <w:top w:w="0" w:type="dxa"/>
                    <w:left w:w="108" w:type="dxa"/>
                    <w:bottom w:w="0" w:type="dxa"/>
                    <w:right w:w="108" w:type="dxa"/>
                  </w:tcMar>
                </w:tcPr>
                <w:p w:rsidR="0099333E" w:rsidRDefault="0099333E" w:rsidP="0099333E">
                  <w:pPr>
                    <w:framePr w:hSpace="180" w:wrap="around" w:hAnchor="margin" w:y="-405"/>
                    <w:rPr>
                      <w:rStyle w:val="Hyperlink"/>
                      <w:b/>
                      <w:bCs/>
                    </w:rPr>
                  </w:pPr>
                  <w:proofErr w:type="spellStart"/>
                  <w:r>
                    <w:rPr>
                      <w:rFonts w:ascii="Cambria" w:hAnsi="Cambria"/>
                      <w:b/>
                      <w:bCs/>
                      <w:sz w:val="20"/>
                      <w:szCs w:val="20"/>
                    </w:rPr>
                    <w:t>Tuskys</w:t>
                  </w:r>
                  <w:proofErr w:type="spellEnd"/>
                  <w:r>
                    <w:rPr>
                      <w:rFonts w:ascii="Cambria" w:hAnsi="Cambria"/>
                      <w:b/>
                      <w:bCs/>
                      <w:sz w:val="20"/>
                      <w:szCs w:val="20"/>
                    </w:rPr>
                    <w:t xml:space="preserve"> Greenspan exit hits ICEA's asset firm; </w:t>
                  </w:r>
                  <w:r>
                    <w:rPr>
                      <w:rFonts w:ascii="Cambria" w:hAnsi="Cambria"/>
                      <w:sz w:val="20"/>
                      <w:szCs w:val="20"/>
                    </w:rPr>
                    <w:t xml:space="preserve">The closure of </w:t>
                  </w:r>
                  <w:proofErr w:type="spellStart"/>
                  <w:r>
                    <w:rPr>
                      <w:rFonts w:ascii="Cambria" w:hAnsi="Cambria"/>
                      <w:sz w:val="20"/>
                      <w:szCs w:val="20"/>
                    </w:rPr>
                    <w:t>Tuskys</w:t>
                  </w:r>
                  <w:proofErr w:type="spellEnd"/>
                  <w:r>
                    <w:rPr>
                      <w:rFonts w:ascii="Cambria" w:hAnsi="Cambria"/>
                      <w:sz w:val="20"/>
                      <w:szCs w:val="20"/>
                    </w:rPr>
                    <w:t xml:space="preserve"> supermarket's</w:t>
                  </w:r>
                  <w:proofErr w:type="gramStart"/>
                  <w:r>
                    <w:rPr>
                      <w:rFonts w:ascii="Cambria" w:hAnsi="Cambria"/>
                      <w:sz w:val="20"/>
                      <w:szCs w:val="20"/>
                    </w:rPr>
                    <w:t>  Greenspan</w:t>
                  </w:r>
                  <w:proofErr w:type="gramEnd"/>
                  <w:r>
                    <w:rPr>
                      <w:rFonts w:ascii="Cambria" w:hAnsi="Cambria"/>
                      <w:sz w:val="20"/>
                      <w:szCs w:val="20"/>
                    </w:rPr>
                    <w:t xml:space="preserve">  Mall  branch in </w:t>
                  </w:r>
                  <w:proofErr w:type="spellStart"/>
                  <w:r>
                    <w:rPr>
                      <w:rFonts w:ascii="Cambria" w:hAnsi="Cambria"/>
                      <w:sz w:val="20"/>
                      <w:szCs w:val="20"/>
                    </w:rPr>
                    <w:t>Donholm</w:t>
                  </w:r>
                  <w:proofErr w:type="spellEnd"/>
                  <w:r>
                    <w:rPr>
                      <w:rFonts w:ascii="Cambria" w:hAnsi="Cambria"/>
                      <w:sz w:val="20"/>
                      <w:szCs w:val="20"/>
                    </w:rPr>
                    <w:t xml:space="preserve"> considerably affected Asset Management 's net 2020 earnings. The Mall is one of the biggest assets under ILAM </w:t>
                  </w:r>
                  <w:proofErr w:type="spellStart"/>
                  <w:r>
                    <w:rPr>
                      <w:rFonts w:ascii="Cambria" w:hAnsi="Cambria"/>
                      <w:sz w:val="20"/>
                      <w:szCs w:val="20"/>
                    </w:rPr>
                    <w:t>Fahari</w:t>
                  </w:r>
                  <w:proofErr w:type="spellEnd"/>
                  <w:r>
                    <w:rPr>
                      <w:rFonts w:ascii="Cambria" w:hAnsi="Cambria"/>
                      <w:sz w:val="20"/>
                      <w:szCs w:val="20"/>
                    </w:rPr>
                    <w:t xml:space="preserve"> I-REIT therefore with the highest occupancy in 2020 of 86.2 per cent</w:t>
                  </w:r>
                  <w:r>
                    <w:rPr>
                      <w:rFonts w:ascii="Cambria" w:hAnsi="Cambria"/>
                      <w:b/>
                      <w:bCs/>
                      <w:sz w:val="20"/>
                      <w:szCs w:val="20"/>
                    </w:rPr>
                    <w:t xml:space="preserve">. </w:t>
                  </w:r>
                  <w:hyperlink r:id="rId54"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Casuals at </w:t>
                  </w:r>
                  <w:proofErr w:type="spellStart"/>
                  <w:r>
                    <w:rPr>
                      <w:rFonts w:ascii="Cambria" w:hAnsi="Cambria"/>
                      <w:b/>
                      <w:bCs/>
                      <w:sz w:val="20"/>
                      <w:szCs w:val="20"/>
                    </w:rPr>
                    <w:t>Kiambu</w:t>
                  </w:r>
                  <w:proofErr w:type="spellEnd"/>
                  <w:r>
                    <w:rPr>
                      <w:rFonts w:ascii="Cambria" w:hAnsi="Cambria"/>
                      <w:b/>
                      <w:bCs/>
                      <w:sz w:val="20"/>
                      <w:szCs w:val="20"/>
                    </w:rPr>
                    <w:t xml:space="preserve"> </w:t>
                  </w:r>
                  <w:proofErr w:type="spellStart"/>
                  <w:r>
                    <w:rPr>
                      <w:rFonts w:ascii="Cambria" w:hAnsi="Cambria"/>
                      <w:b/>
                      <w:bCs/>
                      <w:sz w:val="20"/>
                      <w:szCs w:val="20"/>
                    </w:rPr>
                    <w:t>Covid</w:t>
                  </w:r>
                  <w:proofErr w:type="spellEnd"/>
                  <w:r>
                    <w:rPr>
                      <w:rFonts w:ascii="Cambria" w:hAnsi="Cambria"/>
                      <w:b/>
                      <w:bCs/>
                      <w:sz w:val="20"/>
                      <w:szCs w:val="20"/>
                    </w:rPr>
                    <w:t xml:space="preserve"> </w:t>
                  </w:r>
                  <w:proofErr w:type="spellStart"/>
                  <w:r>
                    <w:rPr>
                      <w:rFonts w:ascii="Cambria" w:hAnsi="Cambria"/>
                      <w:b/>
                      <w:bCs/>
                      <w:sz w:val="20"/>
                      <w:szCs w:val="20"/>
                    </w:rPr>
                    <w:t>centre</w:t>
                  </w:r>
                  <w:proofErr w:type="spellEnd"/>
                  <w:r>
                    <w:rPr>
                      <w:rFonts w:ascii="Cambria" w:hAnsi="Cambria"/>
                      <w:b/>
                      <w:bCs/>
                      <w:sz w:val="20"/>
                      <w:szCs w:val="20"/>
                    </w:rPr>
                    <w:t xml:space="preserve"> go on strike over pay:</w:t>
                  </w:r>
                  <w:r>
                    <w:rPr>
                      <w:rFonts w:ascii="Cambria" w:hAnsi="Cambria"/>
                      <w:sz w:val="20"/>
                      <w:szCs w:val="20"/>
                    </w:rPr>
                    <w:t xml:space="preserve"> Thirty-five casual workers at one of the biggest hospitals in </w:t>
                  </w:r>
                  <w:proofErr w:type="spellStart"/>
                  <w:r>
                    <w:rPr>
                      <w:rFonts w:ascii="Cambria" w:hAnsi="Cambria"/>
                      <w:sz w:val="20"/>
                      <w:szCs w:val="20"/>
                    </w:rPr>
                    <w:t>Kiambu</w:t>
                  </w:r>
                  <w:proofErr w:type="spellEnd"/>
                  <w:r>
                    <w:rPr>
                      <w:rFonts w:ascii="Cambria" w:hAnsi="Cambria"/>
                      <w:sz w:val="20"/>
                      <w:szCs w:val="20"/>
                    </w:rPr>
                    <w:t xml:space="preserve"> county boycotted work on Monday over six-month salary arrears. Services were disrupted at </w:t>
                  </w:r>
                  <w:proofErr w:type="spellStart"/>
                  <w:r>
                    <w:rPr>
                      <w:rFonts w:ascii="Cambria" w:hAnsi="Cambria"/>
                      <w:sz w:val="20"/>
                      <w:szCs w:val="20"/>
                    </w:rPr>
                    <w:t>Kiambu</w:t>
                  </w:r>
                  <w:proofErr w:type="spellEnd"/>
                  <w:r>
                    <w:rPr>
                      <w:rFonts w:ascii="Cambria" w:hAnsi="Cambria"/>
                      <w:sz w:val="20"/>
                      <w:szCs w:val="20"/>
                    </w:rPr>
                    <w:t xml:space="preserve"> County Covid-19 Centre as doctors and nurses could not double as casuals. The casuals ensure general cleanliness and do much clerical work. They serve at the registry, kitchen, mortuary, stores, NHIF offices and the oxygen department. </w:t>
                  </w:r>
                  <w:hyperlink r:id="rId55"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t xml:space="preserve">Only 1% of </w:t>
                  </w:r>
                  <w:proofErr w:type="spellStart"/>
                  <w:r>
                    <w:rPr>
                      <w:rFonts w:ascii="Cambria" w:hAnsi="Cambria"/>
                      <w:b/>
                      <w:bCs/>
                      <w:sz w:val="20"/>
                      <w:szCs w:val="20"/>
                    </w:rPr>
                    <w:t>Nyeri</w:t>
                  </w:r>
                  <w:proofErr w:type="spellEnd"/>
                  <w:r>
                    <w:rPr>
                      <w:rFonts w:ascii="Cambria" w:hAnsi="Cambria"/>
                      <w:b/>
                      <w:bCs/>
                      <w:sz w:val="20"/>
                      <w:szCs w:val="20"/>
                    </w:rPr>
                    <w:t xml:space="preserve"> residents have insurance</w:t>
                  </w:r>
                  <w:r>
                    <w:rPr>
                      <w:rFonts w:ascii="Cambria" w:hAnsi="Cambria"/>
                      <w:sz w:val="20"/>
                      <w:szCs w:val="20"/>
                    </w:rPr>
                    <w:t xml:space="preserve">: only one percent of </w:t>
                  </w:r>
                  <w:proofErr w:type="spellStart"/>
                  <w:r>
                    <w:rPr>
                      <w:rFonts w:ascii="Cambria" w:hAnsi="Cambria"/>
                      <w:sz w:val="20"/>
                      <w:szCs w:val="20"/>
                    </w:rPr>
                    <w:t>Nyeri</w:t>
                  </w:r>
                  <w:proofErr w:type="spellEnd"/>
                  <w:r>
                    <w:rPr>
                      <w:rFonts w:ascii="Cambria" w:hAnsi="Cambria"/>
                      <w:sz w:val="20"/>
                      <w:szCs w:val="20"/>
                    </w:rPr>
                    <w:t xml:space="preserve"> residents have taken insurance policies, commission of insurance and the CEO of Insurance Regulatory Godfrey </w:t>
                  </w:r>
                  <w:proofErr w:type="spellStart"/>
                  <w:r>
                    <w:rPr>
                      <w:rFonts w:ascii="Cambria" w:hAnsi="Cambria"/>
                      <w:sz w:val="20"/>
                      <w:szCs w:val="20"/>
                    </w:rPr>
                    <w:t>Kiptum</w:t>
                  </w:r>
                  <w:proofErr w:type="spellEnd"/>
                  <w:r>
                    <w:rPr>
                      <w:rFonts w:ascii="Cambria" w:hAnsi="Cambria"/>
                      <w:sz w:val="20"/>
                      <w:szCs w:val="20"/>
                    </w:rPr>
                    <w:t xml:space="preserve"> has said. More than 60 to 70 per cent of insurance policies in the country are sold in Nairobi while the remaining 30 to 40 per cent are distributed to the rest of the counties. </w:t>
                  </w:r>
                  <w:hyperlink r:id="rId56" w:history="1">
                    <w:r>
                      <w:rPr>
                        <w:rStyle w:val="Hyperlink"/>
                        <w:rFonts w:ascii="Cambria" w:hAnsi="Cambria"/>
                        <w:b/>
                        <w:bCs/>
                        <w:sz w:val="20"/>
                        <w:szCs w:val="20"/>
                      </w:rPr>
                      <w:t>Read more</w:t>
                    </w:r>
                  </w:hyperlink>
                </w:p>
                <w:p w:rsidR="0099333E" w:rsidRDefault="0099333E" w:rsidP="0099333E">
                  <w:pPr>
                    <w:framePr w:hSpace="180" w:wrap="around" w:hAnchor="margin" w:y="-405"/>
                  </w:pPr>
                </w:p>
                <w:p w:rsidR="0099333E" w:rsidRDefault="0099333E" w:rsidP="0099333E">
                  <w:pPr>
                    <w:framePr w:hSpace="180" w:wrap="around" w:hAnchor="margin" w:y="-405"/>
                    <w:rPr>
                      <w:rStyle w:val="Hyperlink"/>
                    </w:rPr>
                  </w:pPr>
                  <w:r>
                    <w:rPr>
                      <w:rFonts w:ascii="Cambria" w:hAnsi="Cambria"/>
                      <w:b/>
                      <w:bCs/>
                      <w:sz w:val="20"/>
                      <w:szCs w:val="20"/>
                    </w:rPr>
                    <w:lastRenderedPageBreak/>
                    <w:t>Old Mutual launches community awareness:</w:t>
                  </w:r>
                  <w:r>
                    <w:rPr>
                      <w:rFonts w:ascii="Cambria" w:hAnsi="Cambria"/>
                      <w:sz w:val="20"/>
                      <w:szCs w:val="20"/>
                    </w:rPr>
                    <w:t xml:space="preserve"> Old Mutual has launched 'Sisonke', a pan-African campaign aimed at creating awareness and inspiring collective action to mitigate, minimize and manage Covid-19 and its effects. </w:t>
                  </w:r>
                  <w:hyperlink r:id="rId57" w:history="1">
                    <w:r>
                      <w:rPr>
                        <w:rStyle w:val="Hyperlink"/>
                        <w:rFonts w:ascii="Cambria" w:hAnsi="Cambria"/>
                        <w:b/>
                        <w:bCs/>
                        <w:sz w:val="20"/>
                        <w:szCs w:val="20"/>
                      </w:rPr>
                      <w:t>Read more</w:t>
                    </w:r>
                  </w:hyperlink>
                </w:p>
              </w:tc>
            </w:tr>
          </w:tbl>
          <w:p w:rsidR="0099333E" w:rsidRDefault="0099333E" w:rsidP="0099333E">
            <w:pPr>
              <w:shd w:val="clear" w:color="auto" w:fill="00B050"/>
              <w:rPr>
                <w:rFonts w:ascii="Cambria" w:hAnsi="Cambria"/>
                <w:b/>
                <w:bCs/>
                <w:sz w:val="20"/>
                <w:szCs w:val="20"/>
                <w:shd w:val="clear" w:color="auto" w:fill="00B050"/>
              </w:rPr>
            </w:pPr>
            <w:r>
              <w:rPr>
                <w:rFonts w:ascii="Cambria" w:hAnsi="Cambria"/>
                <w:b/>
                <w:bCs/>
                <w:sz w:val="20"/>
                <w:szCs w:val="20"/>
                <w:shd w:val="clear" w:color="auto" w:fill="00B050"/>
              </w:rPr>
              <w:lastRenderedPageBreak/>
              <w:t xml:space="preserve">People Daily                                               </w:t>
            </w:r>
          </w:p>
          <w:tbl>
            <w:tblPr>
              <w:tblW w:w="0" w:type="dxa"/>
              <w:tblCellMar>
                <w:left w:w="0" w:type="dxa"/>
                <w:right w:w="0" w:type="dxa"/>
              </w:tblCellMar>
              <w:tblLook w:val="04A0" w:firstRow="1" w:lastRow="0" w:firstColumn="1" w:lastColumn="0" w:noHBand="0" w:noVBand="1"/>
            </w:tblPr>
            <w:tblGrid>
              <w:gridCol w:w="4386"/>
              <w:gridCol w:w="7612"/>
            </w:tblGrid>
            <w:tr w:rsidR="0099333E">
              <w:trPr>
                <w:trHeight w:val="4203"/>
              </w:trPr>
              <w:tc>
                <w:tcPr>
                  <w:tcW w:w="4065" w:type="dxa"/>
                  <w:tcMar>
                    <w:top w:w="0" w:type="dxa"/>
                    <w:left w:w="108" w:type="dxa"/>
                    <w:bottom w:w="0" w:type="dxa"/>
                    <w:right w:w="108" w:type="dxa"/>
                  </w:tcMar>
                  <w:hideMark/>
                </w:tcPr>
                <w:p w:rsidR="0099333E" w:rsidRDefault="0099333E" w:rsidP="0099333E">
                  <w:pPr>
                    <w:framePr w:hSpace="180" w:wrap="around" w:hAnchor="margin" w:y="-405"/>
                    <w:rPr>
                      <w:rFonts w:ascii="Cambria" w:hAnsi="Cambria"/>
                      <w:sz w:val="20"/>
                      <w:szCs w:val="20"/>
                      <w:shd w:val="clear" w:color="auto" w:fill="00B050"/>
                    </w:rPr>
                  </w:pPr>
                  <w:r>
                    <w:rPr>
                      <w:noProof/>
                    </w:rPr>
                    <w:drawing>
                      <wp:inline distT="0" distB="0" distL="0" distR="0">
                        <wp:extent cx="2647950" cy="1190625"/>
                        <wp:effectExtent l="0" t="0" r="0" b="9525"/>
                        <wp:docPr id="2" name="Picture 2" descr="cid:image016.jpg@01D72485.323C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image016.jpg@01D72485.323C9380"/>
                                <pic:cNvPicPr>
                                  <a:picLocks noChangeAspect="1" noChangeArrowheads="1"/>
                                </pic:cNvPicPr>
                              </pic:nvPicPr>
                              <pic:blipFill>
                                <a:blip r:embed="rId58" r:link="rId59">
                                  <a:extLst>
                                    <a:ext uri="{28A0092B-C50C-407E-A947-70E740481C1C}">
                                      <a14:useLocalDpi xmlns:a14="http://schemas.microsoft.com/office/drawing/2010/main" val="0"/>
                                    </a:ext>
                                  </a:extLst>
                                </a:blip>
                                <a:srcRect/>
                                <a:stretch>
                                  <a:fillRect/>
                                </a:stretch>
                              </pic:blipFill>
                              <pic:spPr bwMode="auto">
                                <a:xfrm>
                                  <a:off x="0" y="0"/>
                                  <a:ext cx="2647950" cy="1190625"/>
                                </a:xfrm>
                                <a:prstGeom prst="rect">
                                  <a:avLst/>
                                </a:prstGeom>
                                <a:noFill/>
                                <a:ln>
                                  <a:noFill/>
                                </a:ln>
                              </pic:spPr>
                            </pic:pic>
                          </a:graphicData>
                        </a:graphic>
                      </wp:inline>
                    </w:drawing>
                  </w:r>
                </w:p>
              </w:tc>
              <w:tc>
                <w:tcPr>
                  <w:tcW w:w="7612" w:type="dxa"/>
                  <w:shd w:val="clear" w:color="auto" w:fill="FFFFFF"/>
                  <w:tcMar>
                    <w:top w:w="0" w:type="dxa"/>
                    <w:left w:w="108" w:type="dxa"/>
                    <w:bottom w:w="0" w:type="dxa"/>
                    <w:right w:w="108" w:type="dxa"/>
                  </w:tcMar>
                </w:tcPr>
                <w:p w:rsidR="0099333E" w:rsidRDefault="0099333E" w:rsidP="0099333E">
                  <w:pPr>
                    <w:framePr w:hSpace="180" w:wrap="around" w:hAnchor="margin" w:y="-405"/>
                    <w:jc w:val="both"/>
                    <w:rPr>
                      <w:rStyle w:val="Hyperlink"/>
                      <w:b/>
                      <w:bCs/>
                    </w:rPr>
                  </w:pPr>
                  <w:r>
                    <w:rPr>
                      <w:rFonts w:ascii="Cambria" w:hAnsi="Cambria"/>
                      <w:b/>
                      <w:bCs/>
                      <w:sz w:val="20"/>
                      <w:szCs w:val="20"/>
                    </w:rPr>
                    <w:t xml:space="preserve">Pioneer Assurance unveils new pension scheme:  </w:t>
                  </w:r>
                  <w:r>
                    <w:rPr>
                      <w:rFonts w:ascii="Cambria" w:hAnsi="Cambria"/>
                      <w:sz w:val="20"/>
                      <w:szCs w:val="20"/>
                    </w:rPr>
                    <w:t xml:space="preserve">Pioneer Assurance has initiated a high guarantee Individual Pension Scheme dubbed </w:t>
                  </w:r>
                  <w:proofErr w:type="spellStart"/>
                  <w:r>
                    <w:rPr>
                      <w:rFonts w:ascii="Cambria" w:hAnsi="Cambria"/>
                      <w:sz w:val="20"/>
                      <w:szCs w:val="20"/>
                    </w:rPr>
                    <w:t>Kilele</w:t>
                  </w:r>
                  <w:proofErr w:type="spellEnd"/>
                  <w:r>
                    <w:rPr>
                      <w:rFonts w:ascii="Cambria" w:hAnsi="Cambria"/>
                      <w:sz w:val="20"/>
                      <w:szCs w:val="20"/>
                    </w:rPr>
                    <w:t xml:space="preserve"> Pension Plan</w:t>
                  </w:r>
                  <w:r>
                    <w:rPr>
                      <w:rFonts w:ascii="Cambria" w:hAnsi="Cambria"/>
                      <w:b/>
                      <w:bCs/>
                      <w:sz w:val="20"/>
                      <w:szCs w:val="20"/>
                    </w:rPr>
                    <w:t xml:space="preserve">. </w:t>
                  </w:r>
                  <w:hyperlink r:id="rId60" w:history="1">
                    <w:r>
                      <w:rPr>
                        <w:rStyle w:val="Hyperlink"/>
                        <w:rFonts w:ascii="Cambria" w:hAnsi="Cambria"/>
                        <w:b/>
                        <w:bCs/>
                        <w:sz w:val="20"/>
                        <w:szCs w:val="20"/>
                      </w:rPr>
                      <w:t>Read more</w:t>
                    </w:r>
                  </w:hyperlink>
                </w:p>
                <w:p w:rsidR="0099333E" w:rsidRDefault="0099333E" w:rsidP="0099333E">
                  <w:pPr>
                    <w:framePr w:hSpace="180" w:wrap="around" w:hAnchor="margin" w:y="-405"/>
                    <w:jc w:val="both"/>
                  </w:pPr>
                </w:p>
                <w:p w:rsidR="0099333E" w:rsidRDefault="0099333E" w:rsidP="0099333E">
                  <w:pPr>
                    <w:framePr w:hSpace="180" w:wrap="around" w:hAnchor="margin" w:y="-405"/>
                    <w:jc w:val="both"/>
                    <w:rPr>
                      <w:rStyle w:val="Hyperlink"/>
                    </w:rPr>
                  </w:pPr>
                  <w:r>
                    <w:rPr>
                      <w:rStyle w:val="Hyperlink"/>
                      <w:rFonts w:ascii="Cambria" w:hAnsi="Cambria"/>
                      <w:b/>
                      <w:bCs/>
                      <w:color w:val="auto"/>
                      <w:sz w:val="20"/>
                      <w:szCs w:val="20"/>
                      <w:u w:val="none"/>
                    </w:rPr>
                    <w:t xml:space="preserve">Reinventing retail options for businesses: </w:t>
                  </w:r>
                  <w:r>
                    <w:rPr>
                      <w:rStyle w:val="Hyperlink"/>
                      <w:rFonts w:ascii="Cambria" w:hAnsi="Cambria"/>
                      <w:color w:val="auto"/>
                      <w:sz w:val="20"/>
                      <w:szCs w:val="20"/>
                      <w:u w:val="none"/>
                    </w:rPr>
                    <w:t>They also offer a free personal accident insurance cover of up to Sh250</w:t>
                  </w:r>
                  <w:proofErr w:type="gramStart"/>
                  <w:r>
                    <w:rPr>
                      <w:rStyle w:val="Hyperlink"/>
                      <w:rFonts w:ascii="Cambria" w:hAnsi="Cambria"/>
                      <w:color w:val="auto"/>
                      <w:sz w:val="20"/>
                      <w:szCs w:val="20"/>
                      <w:u w:val="none"/>
                    </w:rPr>
                    <w:t>,000</w:t>
                  </w:r>
                  <w:proofErr w:type="gramEnd"/>
                  <w:r>
                    <w:rPr>
                      <w:rStyle w:val="Hyperlink"/>
                      <w:rFonts w:ascii="Cambria" w:hAnsi="Cambria"/>
                      <w:color w:val="auto"/>
                      <w:sz w:val="20"/>
                      <w:szCs w:val="20"/>
                      <w:u w:val="none"/>
                    </w:rPr>
                    <w:t xml:space="preserve"> to their clients. Currently, the company has 14 shops in six locations. The biggest and latest can accommodate about 1,400 vendors. They plan to expand to other counties as well as other African countries</w:t>
                  </w:r>
                  <w:r>
                    <w:rPr>
                      <w:rStyle w:val="Hyperlink"/>
                      <w:rFonts w:ascii="Cambria" w:hAnsi="Cambria"/>
                      <w:b/>
                      <w:bCs/>
                      <w:color w:val="auto"/>
                      <w:sz w:val="20"/>
                      <w:szCs w:val="20"/>
                      <w:u w:val="none"/>
                    </w:rPr>
                    <w:t xml:space="preserve">. </w:t>
                  </w:r>
                  <w:hyperlink r:id="rId61"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color w:val="auto"/>
                      <w:u w:val="none"/>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t xml:space="preserve">Trio creates app for emergencies: </w:t>
                  </w:r>
                  <w:r>
                    <w:rPr>
                      <w:rStyle w:val="Hyperlink"/>
                      <w:rFonts w:ascii="Cambria" w:hAnsi="Cambria"/>
                      <w:color w:val="auto"/>
                      <w:sz w:val="20"/>
                      <w:szCs w:val="20"/>
                      <w:u w:val="none"/>
                    </w:rPr>
                    <w:t xml:space="preserve">Everyone wants to feel safe and secure, but not everyone gets to enjoy this. This was the case for Eric </w:t>
                  </w:r>
                  <w:proofErr w:type="spellStart"/>
                  <w:r>
                    <w:rPr>
                      <w:rStyle w:val="Hyperlink"/>
                      <w:rFonts w:ascii="Cambria" w:hAnsi="Cambria"/>
                      <w:color w:val="auto"/>
                      <w:sz w:val="20"/>
                      <w:szCs w:val="20"/>
                      <w:u w:val="none"/>
                    </w:rPr>
                    <w:t>Murithi</w:t>
                  </w:r>
                  <w:proofErr w:type="spellEnd"/>
                  <w:r>
                    <w:rPr>
                      <w:rStyle w:val="Hyperlink"/>
                      <w:rFonts w:ascii="Cambria" w:hAnsi="Cambria"/>
                      <w:color w:val="auto"/>
                      <w:sz w:val="20"/>
                      <w:szCs w:val="20"/>
                      <w:u w:val="none"/>
                    </w:rPr>
                    <w:t xml:space="preserve">, who had an encounter with thugs trying to break into his then neighbor's house.  He felt helpless over the situation at that moment because he could not access emergency services to report it, but knew he needed to do something about making Kenyans feel secure. He talked to his colleague Vincent </w:t>
                  </w:r>
                  <w:proofErr w:type="spellStart"/>
                  <w:r>
                    <w:rPr>
                      <w:rStyle w:val="Hyperlink"/>
                      <w:rFonts w:ascii="Cambria" w:hAnsi="Cambria"/>
                      <w:color w:val="auto"/>
                      <w:sz w:val="20"/>
                      <w:szCs w:val="20"/>
                      <w:u w:val="none"/>
                    </w:rPr>
                    <w:t>Awino</w:t>
                  </w:r>
                  <w:proofErr w:type="spellEnd"/>
                  <w:r>
                    <w:rPr>
                      <w:rStyle w:val="Hyperlink"/>
                      <w:rFonts w:ascii="Cambria" w:hAnsi="Cambria"/>
                      <w:color w:val="auto"/>
                      <w:sz w:val="20"/>
                      <w:szCs w:val="20"/>
                      <w:u w:val="none"/>
                    </w:rPr>
                    <w:t xml:space="preserve">, and together with Edna </w:t>
                  </w:r>
                  <w:proofErr w:type="spellStart"/>
                  <w:r>
                    <w:rPr>
                      <w:rStyle w:val="Hyperlink"/>
                      <w:rFonts w:ascii="Cambria" w:hAnsi="Cambria"/>
                      <w:color w:val="auto"/>
                      <w:sz w:val="20"/>
                      <w:szCs w:val="20"/>
                      <w:u w:val="none"/>
                    </w:rPr>
                    <w:t>Kendi</w:t>
                  </w:r>
                  <w:proofErr w:type="spellEnd"/>
                  <w:r>
                    <w:rPr>
                      <w:rStyle w:val="Hyperlink"/>
                      <w:rFonts w:ascii="Cambria" w:hAnsi="Cambria"/>
                      <w:color w:val="auto"/>
                      <w:sz w:val="20"/>
                      <w:szCs w:val="20"/>
                      <w:u w:val="none"/>
                    </w:rPr>
                    <w:t xml:space="preserve">, they came up with an idea.   Vincent says when a user raises an alert, their social-safety-network are notified almost instantaneously.  “If a user is subscribed, via </w:t>
                  </w:r>
                  <w:proofErr w:type="spellStart"/>
                  <w:r>
                    <w:rPr>
                      <w:rStyle w:val="Hyperlink"/>
                      <w:rFonts w:ascii="Cambria" w:hAnsi="Cambria"/>
                      <w:color w:val="auto"/>
                      <w:sz w:val="20"/>
                      <w:szCs w:val="20"/>
                      <w:u w:val="none"/>
                    </w:rPr>
                    <w:t>Upesy</w:t>
                  </w:r>
                  <w:proofErr w:type="spellEnd"/>
                  <w:r>
                    <w:rPr>
                      <w:rStyle w:val="Hyperlink"/>
                      <w:rFonts w:ascii="Cambria" w:hAnsi="Cambria"/>
                      <w:color w:val="auto"/>
                      <w:sz w:val="20"/>
                      <w:szCs w:val="20"/>
                      <w:u w:val="none"/>
                    </w:rPr>
                    <w:t xml:space="preserve">, to a private emergency services response provider such as Secured, G4S, AAR Healthcare, </w:t>
                  </w:r>
                  <w:proofErr w:type="spellStart"/>
                  <w:r>
                    <w:rPr>
                      <w:rStyle w:val="Hyperlink"/>
                      <w:rFonts w:ascii="Cambria" w:hAnsi="Cambria"/>
                      <w:color w:val="auto"/>
                      <w:sz w:val="20"/>
                      <w:szCs w:val="20"/>
                      <w:u w:val="none"/>
                    </w:rPr>
                    <w:t>Amref</w:t>
                  </w:r>
                  <w:proofErr w:type="spellEnd"/>
                  <w:r>
                    <w:rPr>
                      <w:rStyle w:val="Hyperlink"/>
                      <w:rFonts w:ascii="Cambria" w:hAnsi="Cambria"/>
                      <w:color w:val="auto"/>
                      <w:sz w:val="20"/>
                      <w:szCs w:val="20"/>
                      <w:u w:val="none"/>
                    </w:rPr>
                    <w:t xml:space="preserve"> Flying Doctors, the alert is also sent to them,” he adds. </w:t>
                  </w:r>
                  <w:hyperlink r:id="rId62"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color w:val="auto"/>
                      <w:sz w:val="20"/>
                      <w:szCs w:val="20"/>
                      <w:u w:val="none"/>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t xml:space="preserve">Union loses legal battle to stop legal battle to stop construction of Sh5b </w:t>
                  </w:r>
                  <w:proofErr w:type="spellStart"/>
                  <w:r>
                    <w:rPr>
                      <w:rStyle w:val="Hyperlink"/>
                      <w:rFonts w:ascii="Cambria" w:hAnsi="Cambria"/>
                      <w:b/>
                      <w:bCs/>
                      <w:color w:val="auto"/>
                      <w:sz w:val="20"/>
                      <w:szCs w:val="20"/>
                      <w:u w:val="none"/>
                    </w:rPr>
                    <w:t>Ugatuzi</w:t>
                  </w:r>
                  <w:proofErr w:type="spellEnd"/>
                  <w:r>
                    <w:rPr>
                      <w:rStyle w:val="Hyperlink"/>
                      <w:rFonts w:ascii="Cambria" w:hAnsi="Cambria"/>
                      <w:b/>
                      <w:bCs/>
                      <w:color w:val="auto"/>
                      <w:sz w:val="20"/>
                      <w:szCs w:val="20"/>
                      <w:u w:val="none"/>
                    </w:rPr>
                    <w:t xml:space="preserve"> Towers: </w:t>
                  </w:r>
                  <w:r>
                    <w:rPr>
                      <w:rStyle w:val="Hyperlink"/>
                      <w:rFonts w:ascii="Cambria" w:hAnsi="Cambria"/>
                      <w:color w:val="auto"/>
                      <w:sz w:val="20"/>
                      <w:szCs w:val="20"/>
                      <w:u w:val="none"/>
                    </w:rPr>
                    <w:t>The county workers’ union has lost a legal battle against the board of trustees of the Local Authority Pension Trust (</w:t>
                  </w:r>
                  <w:proofErr w:type="spellStart"/>
                  <w:r>
                    <w:rPr>
                      <w:rStyle w:val="Hyperlink"/>
                      <w:rFonts w:ascii="Cambria" w:hAnsi="Cambria"/>
                      <w:color w:val="auto"/>
                      <w:sz w:val="20"/>
                      <w:szCs w:val="20"/>
                      <w:u w:val="none"/>
                    </w:rPr>
                    <w:t>LapTrust</w:t>
                  </w:r>
                  <w:proofErr w:type="spellEnd"/>
                  <w:r>
                    <w:rPr>
                      <w:rStyle w:val="Hyperlink"/>
                      <w:rFonts w:ascii="Cambria" w:hAnsi="Cambria"/>
                      <w:color w:val="auto"/>
                      <w:sz w:val="20"/>
                      <w:szCs w:val="20"/>
                      <w:u w:val="none"/>
                    </w:rPr>
                    <w:t xml:space="preserve">) and County Pension Fund over the construction of </w:t>
                  </w:r>
                  <w:proofErr w:type="spellStart"/>
                  <w:r>
                    <w:rPr>
                      <w:rStyle w:val="Hyperlink"/>
                      <w:rFonts w:ascii="Cambria" w:hAnsi="Cambria"/>
                      <w:color w:val="auto"/>
                      <w:sz w:val="20"/>
                      <w:szCs w:val="20"/>
                      <w:u w:val="none"/>
                    </w:rPr>
                    <w:t>Ugatuzi</w:t>
                  </w:r>
                  <w:proofErr w:type="spellEnd"/>
                  <w:r>
                    <w:rPr>
                      <w:rStyle w:val="Hyperlink"/>
                      <w:rFonts w:ascii="Cambria" w:hAnsi="Cambria"/>
                      <w:color w:val="auto"/>
                      <w:sz w:val="20"/>
                      <w:szCs w:val="20"/>
                      <w:u w:val="none"/>
                    </w:rPr>
                    <w:t xml:space="preserve"> Towers, a project spearheaded by the Council of Governors. Kenya County Government Workers Union (KCGWU) had in January moved to court to block the development of the Sh5 billion G47 </w:t>
                  </w:r>
                  <w:proofErr w:type="spellStart"/>
                  <w:r>
                    <w:rPr>
                      <w:rStyle w:val="Hyperlink"/>
                      <w:rFonts w:ascii="Cambria" w:hAnsi="Cambria"/>
                      <w:color w:val="auto"/>
                      <w:sz w:val="20"/>
                      <w:szCs w:val="20"/>
                      <w:u w:val="none"/>
                    </w:rPr>
                    <w:t>Ugatuzi</w:t>
                  </w:r>
                  <w:proofErr w:type="spellEnd"/>
                  <w:r>
                    <w:rPr>
                      <w:rStyle w:val="Hyperlink"/>
                      <w:rFonts w:ascii="Cambria" w:hAnsi="Cambria"/>
                      <w:color w:val="auto"/>
                      <w:sz w:val="20"/>
                      <w:szCs w:val="20"/>
                      <w:u w:val="none"/>
                    </w:rPr>
                    <w:t xml:space="preserve"> tower launched last December, citing among other ills, the violation of rights of its members. </w:t>
                  </w:r>
                  <w:hyperlink r:id="rId63"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sz w:val="20"/>
                      <w:szCs w:val="20"/>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lastRenderedPageBreak/>
                    <w:t xml:space="preserve">Jitters at Insurer as probe comes to an end: </w:t>
                  </w:r>
                  <w:r>
                    <w:rPr>
                      <w:rStyle w:val="Hyperlink"/>
                      <w:rFonts w:ascii="Cambria" w:hAnsi="Cambria"/>
                      <w:color w:val="auto"/>
                      <w:sz w:val="20"/>
                      <w:szCs w:val="20"/>
                      <w:u w:val="none"/>
                    </w:rPr>
                    <w:t xml:space="preserve">At the national health insurer, the top management awaits the EACC and DCI next move like the Sword of Damocles, after a visit to the offices left with a sheaf of papers. The sleuths have completed a long fraud investigation against the officers.  What awaits is the DPP’s word about the case, but so far, it looks nasty for those interviewed by the sleuths over the matter that attracted national attention. The top echelons are not sitting pretty at all. An effort to stop the investigations was scuttled by the State. </w:t>
                  </w:r>
                  <w:hyperlink r:id="rId64"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color w:val="auto"/>
                      <w:sz w:val="20"/>
                      <w:szCs w:val="20"/>
                      <w:u w:val="none"/>
                    </w:rPr>
                  </w:pPr>
                </w:p>
                <w:p w:rsidR="0099333E" w:rsidRDefault="0099333E" w:rsidP="0099333E">
                  <w:pPr>
                    <w:framePr w:hSpace="180" w:wrap="around" w:hAnchor="margin" w:y="-405"/>
                    <w:jc w:val="both"/>
                    <w:rPr>
                      <w:rStyle w:val="Hyperlink"/>
                      <w:rFonts w:ascii="Cambria" w:hAnsi="Cambria"/>
                      <w:b/>
                      <w:bCs/>
                      <w:sz w:val="20"/>
                      <w:szCs w:val="20"/>
                    </w:rPr>
                  </w:pPr>
                  <w:proofErr w:type="spellStart"/>
                  <w:r>
                    <w:rPr>
                      <w:rStyle w:val="Hyperlink"/>
                      <w:rFonts w:ascii="Cambria" w:hAnsi="Cambria"/>
                      <w:b/>
                      <w:bCs/>
                      <w:color w:val="auto"/>
                      <w:sz w:val="20"/>
                      <w:szCs w:val="20"/>
                      <w:u w:val="none"/>
                    </w:rPr>
                    <w:t>Kitale</w:t>
                  </w:r>
                  <w:proofErr w:type="spellEnd"/>
                  <w:r>
                    <w:rPr>
                      <w:rStyle w:val="Hyperlink"/>
                      <w:rFonts w:ascii="Cambria" w:hAnsi="Cambria"/>
                      <w:b/>
                      <w:bCs/>
                      <w:color w:val="auto"/>
                      <w:sz w:val="20"/>
                      <w:szCs w:val="20"/>
                      <w:u w:val="none"/>
                    </w:rPr>
                    <w:t xml:space="preserve"> court jails duo for 200 years for robbery: </w:t>
                  </w:r>
                  <w:r>
                    <w:rPr>
                      <w:rStyle w:val="Hyperlink"/>
                      <w:rFonts w:ascii="Cambria" w:hAnsi="Cambria"/>
                      <w:color w:val="auto"/>
                      <w:sz w:val="20"/>
                      <w:szCs w:val="20"/>
                      <w:u w:val="none"/>
                    </w:rPr>
                    <w:t xml:space="preserve">Two men have been handed 120 and 80 each years for robbery with violence. The suspects, Walter </w:t>
                  </w:r>
                  <w:proofErr w:type="spellStart"/>
                  <w:r>
                    <w:rPr>
                      <w:rStyle w:val="Hyperlink"/>
                      <w:rFonts w:ascii="Cambria" w:hAnsi="Cambria"/>
                      <w:color w:val="auto"/>
                      <w:sz w:val="20"/>
                      <w:szCs w:val="20"/>
                      <w:u w:val="none"/>
                    </w:rPr>
                    <w:t>Ogumba</w:t>
                  </w:r>
                  <w:proofErr w:type="spellEnd"/>
                  <w:r>
                    <w:rPr>
                      <w:rStyle w:val="Hyperlink"/>
                      <w:rFonts w:ascii="Cambria" w:hAnsi="Cambria"/>
                      <w:color w:val="auto"/>
                      <w:sz w:val="20"/>
                      <w:szCs w:val="20"/>
                      <w:u w:val="none"/>
                    </w:rPr>
                    <w:t xml:space="preserve"> </w:t>
                  </w:r>
                  <w:proofErr w:type="spellStart"/>
                  <w:r>
                    <w:rPr>
                      <w:rStyle w:val="Hyperlink"/>
                      <w:rFonts w:ascii="Cambria" w:hAnsi="Cambria"/>
                      <w:color w:val="auto"/>
                      <w:sz w:val="20"/>
                      <w:szCs w:val="20"/>
                      <w:u w:val="none"/>
                    </w:rPr>
                    <w:t>Mongare</w:t>
                  </w:r>
                  <w:proofErr w:type="spellEnd"/>
                  <w:r>
                    <w:rPr>
                      <w:rStyle w:val="Hyperlink"/>
                      <w:rFonts w:ascii="Cambria" w:hAnsi="Cambria"/>
                      <w:color w:val="auto"/>
                      <w:sz w:val="20"/>
                      <w:szCs w:val="20"/>
                      <w:u w:val="none"/>
                    </w:rPr>
                    <w:t xml:space="preserve"> alias </w:t>
                  </w:r>
                  <w:proofErr w:type="spellStart"/>
                  <w:r>
                    <w:rPr>
                      <w:rStyle w:val="Hyperlink"/>
                      <w:rFonts w:ascii="Cambria" w:hAnsi="Cambria"/>
                      <w:color w:val="auto"/>
                      <w:sz w:val="20"/>
                      <w:szCs w:val="20"/>
                      <w:u w:val="none"/>
                    </w:rPr>
                    <w:t>Nyakundi</w:t>
                  </w:r>
                  <w:proofErr w:type="spellEnd"/>
                  <w:r>
                    <w:rPr>
                      <w:rStyle w:val="Hyperlink"/>
                      <w:rFonts w:ascii="Cambria" w:hAnsi="Cambria"/>
                      <w:color w:val="auto"/>
                      <w:sz w:val="20"/>
                      <w:szCs w:val="20"/>
                      <w:u w:val="none"/>
                    </w:rPr>
                    <w:t xml:space="preserve"> and Christopher </w:t>
                  </w:r>
                  <w:proofErr w:type="spellStart"/>
                  <w:r>
                    <w:rPr>
                      <w:rStyle w:val="Hyperlink"/>
                      <w:rFonts w:ascii="Cambria" w:hAnsi="Cambria"/>
                      <w:color w:val="auto"/>
                      <w:sz w:val="20"/>
                      <w:szCs w:val="20"/>
                      <w:u w:val="none"/>
                    </w:rPr>
                    <w:t>Makari</w:t>
                  </w:r>
                  <w:proofErr w:type="spellEnd"/>
                  <w:r>
                    <w:rPr>
                      <w:rStyle w:val="Hyperlink"/>
                      <w:rFonts w:ascii="Cambria" w:hAnsi="Cambria"/>
                      <w:color w:val="auto"/>
                      <w:sz w:val="20"/>
                      <w:szCs w:val="20"/>
                      <w:u w:val="none"/>
                    </w:rPr>
                    <w:t xml:space="preserve"> </w:t>
                  </w:r>
                  <w:proofErr w:type="spellStart"/>
                  <w:r>
                    <w:rPr>
                      <w:rStyle w:val="Hyperlink"/>
                      <w:rFonts w:ascii="Cambria" w:hAnsi="Cambria"/>
                      <w:color w:val="auto"/>
                      <w:sz w:val="20"/>
                      <w:szCs w:val="20"/>
                      <w:u w:val="none"/>
                    </w:rPr>
                    <w:t>Momanyi</w:t>
                  </w:r>
                  <w:proofErr w:type="spellEnd"/>
                  <w:r>
                    <w:rPr>
                      <w:rStyle w:val="Hyperlink"/>
                      <w:rFonts w:ascii="Cambria" w:hAnsi="Cambria"/>
                      <w:color w:val="auto"/>
                      <w:sz w:val="20"/>
                      <w:szCs w:val="20"/>
                      <w:u w:val="none"/>
                    </w:rPr>
                    <w:t xml:space="preserve"> appeared before </w:t>
                  </w:r>
                  <w:proofErr w:type="spellStart"/>
                  <w:r>
                    <w:rPr>
                      <w:rStyle w:val="Hyperlink"/>
                      <w:rFonts w:ascii="Cambria" w:hAnsi="Cambria"/>
                      <w:color w:val="auto"/>
                      <w:sz w:val="20"/>
                      <w:szCs w:val="20"/>
                      <w:u w:val="none"/>
                    </w:rPr>
                    <w:t>Kitale</w:t>
                  </w:r>
                  <w:proofErr w:type="spellEnd"/>
                  <w:r>
                    <w:rPr>
                      <w:rStyle w:val="Hyperlink"/>
                      <w:rFonts w:ascii="Cambria" w:hAnsi="Cambria"/>
                      <w:color w:val="auto"/>
                      <w:sz w:val="20"/>
                      <w:szCs w:val="20"/>
                      <w:u w:val="none"/>
                    </w:rPr>
                    <w:t xml:space="preserve"> Principal Magistrate Virginia Karanja charged with robbing Esther </w:t>
                  </w:r>
                  <w:proofErr w:type="spellStart"/>
                  <w:r>
                    <w:rPr>
                      <w:rStyle w:val="Hyperlink"/>
                      <w:rFonts w:ascii="Cambria" w:hAnsi="Cambria"/>
                      <w:color w:val="auto"/>
                      <w:sz w:val="20"/>
                      <w:szCs w:val="20"/>
                      <w:u w:val="none"/>
                    </w:rPr>
                    <w:t>Nandutu</w:t>
                  </w:r>
                  <w:proofErr w:type="spellEnd"/>
                  <w:r>
                    <w:rPr>
                      <w:rStyle w:val="Hyperlink"/>
                      <w:rFonts w:ascii="Cambria" w:hAnsi="Cambria"/>
                      <w:color w:val="auto"/>
                      <w:sz w:val="20"/>
                      <w:szCs w:val="20"/>
                      <w:u w:val="none"/>
                    </w:rPr>
                    <w:t xml:space="preserve"> of a mobile phone valued at Sh17</w:t>
                  </w:r>
                  <w:proofErr w:type="gramStart"/>
                  <w:r>
                    <w:rPr>
                      <w:rStyle w:val="Hyperlink"/>
                      <w:rFonts w:ascii="Cambria" w:hAnsi="Cambria"/>
                      <w:color w:val="auto"/>
                      <w:sz w:val="20"/>
                      <w:szCs w:val="20"/>
                      <w:u w:val="none"/>
                    </w:rPr>
                    <w:t>,000</w:t>
                  </w:r>
                  <w:proofErr w:type="gramEnd"/>
                  <w:r>
                    <w:rPr>
                      <w:rStyle w:val="Hyperlink"/>
                      <w:rFonts w:ascii="Cambria" w:hAnsi="Cambria"/>
                      <w:color w:val="auto"/>
                      <w:sz w:val="20"/>
                      <w:szCs w:val="20"/>
                      <w:u w:val="none"/>
                    </w:rPr>
                    <w:t xml:space="preserve"> and Sh3,000 in cash. They committed the offence on March 3, 2018. The court was informed that the victim also lost a handbag valued at Sh3</w:t>
                  </w:r>
                  <w:proofErr w:type="gramStart"/>
                  <w:r>
                    <w:rPr>
                      <w:rStyle w:val="Hyperlink"/>
                      <w:rFonts w:ascii="Cambria" w:hAnsi="Cambria"/>
                      <w:color w:val="auto"/>
                      <w:sz w:val="20"/>
                      <w:szCs w:val="20"/>
                      <w:u w:val="none"/>
                    </w:rPr>
                    <w:t>,000</w:t>
                  </w:r>
                  <w:proofErr w:type="gramEnd"/>
                  <w:r>
                    <w:rPr>
                      <w:rStyle w:val="Hyperlink"/>
                      <w:rFonts w:ascii="Cambria" w:hAnsi="Cambria"/>
                      <w:color w:val="auto"/>
                      <w:sz w:val="20"/>
                      <w:szCs w:val="20"/>
                      <w:u w:val="none"/>
                    </w:rPr>
                    <w:t xml:space="preserve">, purse worth Sh1,500 and KCB, Equity and NHIF cards and a notebook all valued at </w:t>
                  </w:r>
                  <w:proofErr w:type="spellStart"/>
                  <w:r>
                    <w:rPr>
                      <w:rStyle w:val="Hyperlink"/>
                      <w:rFonts w:ascii="Cambria" w:hAnsi="Cambria"/>
                      <w:color w:val="auto"/>
                      <w:sz w:val="20"/>
                      <w:szCs w:val="20"/>
                      <w:u w:val="none"/>
                    </w:rPr>
                    <w:t>Sh</w:t>
                  </w:r>
                  <w:proofErr w:type="spellEnd"/>
                  <w:r>
                    <w:rPr>
                      <w:rStyle w:val="Hyperlink"/>
                      <w:rFonts w:ascii="Cambria" w:hAnsi="Cambria"/>
                      <w:color w:val="auto"/>
                      <w:sz w:val="20"/>
                      <w:szCs w:val="20"/>
                      <w:u w:val="none"/>
                    </w:rPr>
                    <w:t xml:space="preserve"> 24,500. They faced an alternative charge of handling stolen property.  </w:t>
                  </w:r>
                  <w:hyperlink r:id="rId65"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color w:val="auto"/>
                      <w:sz w:val="20"/>
                      <w:szCs w:val="20"/>
                      <w:u w:val="none"/>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t xml:space="preserve">Now at 50: </w:t>
                  </w:r>
                  <w:r>
                    <w:rPr>
                      <w:rStyle w:val="Hyperlink"/>
                      <w:rFonts w:ascii="Cambria" w:hAnsi="Cambria"/>
                      <w:color w:val="auto"/>
                      <w:sz w:val="20"/>
                      <w:szCs w:val="20"/>
                      <w:u w:val="none"/>
                    </w:rPr>
                    <w:t xml:space="preserve">Aga Khan University Hospital has opened a new medical center at Mount View Mall along </w:t>
                  </w:r>
                  <w:proofErr w:type="spellStart"/>
                  <w:r>
                    <w:rPr>
                      <w:rStyle w:val="Hyperlink"/>
                      <w:rFonts w:ascii="Cambria" w:hAnsi="Cambria"/>
                      <w:color w:val="auto"/>
                      <w:sz w:val="20"/>
                      <w:szCs w:val="20"/>
                      <w:u w:val="none"/>
                    </w:rPr>
                    <w:t>Waiyaki</w:t>
                  </w:r>
                  <w:proofErr w:type="spellEnd"/>
                  <w:r>
                    <w:rPr>
                      <w:rStyle w:val="Hyperlink"/>
                      <w:rFonts w:ascii="Cambria" w:hAnsi="Cambria"/>
                      <w:color w:val="auto"/>
                      <w:sz w:val="20"/>
                      <w:szCs w:val="20"/>
                      <w:u w:val="none"/>
                    </w:rPr>
                    <w:t xml:space="preserve"> Way as part of its strategy to increase access to quality healthcare to its patients. The facility that will offer pediatrics, obstetrics, gynecology and dental services becomes the 50th outpatient medical center operated by the Hospital in East Africa.  Some notable names present were chief guest UAP Old Mutual Chief Executive Officer Arthur </w:t>
                  </w:r>
                  <w:proofErr w:type="spellStart"/>
                  <w:r>
                    <w:rPr>
                      <w:rStyle w:val="Hyperlink"/>
                      <w:rFonts w:ascii="Cambria" w:hAnsi="Cambria"/>
                      <w:color w:val="auto"/>
                      <w:sz w:val="20"/>
                      <w:szCs w:val="20"/>
                      <w:u w:val="none"/>
                    </w:rPr>
                    <w:t>Oginga</w:t>
                  </w:r>
                  <w:proofErr w:type="spellEnd"/>
                  <w:r>
                    <w:rPr>
                      <w:rStyle w:val="Hyperlink"/>
                      <w:rFonts w:ascii="Cambria" w:hAnsi="Cambria"/>
                      <w:color w:val="auto"/>
                      <w:sz w:val="20"/>
                      <w:szCs w:val="20"/>
                      <w:u w:val="none"/>
                    </w:rPr>
                    <w:t xml:space="preserve"> and Aga Khan University Hospital acting Chief Executive Officer Rashid </w:t>
                  </w:r>
                  <w:proofErr w:type="spellStart"/>
                  <w:r>
                    <w:rPr>
                      <w:rStyle w:val="Hyperlink"/>
                      <w:rFonts w:ascii="Cambria" w:hAnsi="Cambria"/>
                      <w:color w:val="auto"/>
                      <w:sz w:val="20"/>
                      <w:szCs w:val="20"/>
                      <w:u w:val="none"/>
                    </w:rPr>
                    <w:t>Khalani</w:t>
                  </w:r>
                  <w:proofErr w:type="spellEnd"/>
                  <w:r>
                    <w:rPr>
                      <w:rStyle w:val="Hyperlink"/>
                      <w:rFonts w:ascii="Cambria" w:hAnsi="Cambria"/>
                      <w:color w:val="auto"/>
                      <w:sz w:val="20"/>
                      <w:szCs w:val="20"/>
                      <w:u w:val="none"/>
                    </w:rPr>
                    <w:t xml:space="preserve">. </w:t>
                  </w:r>
                  <w:hyperlink r:id="rId66"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color w:val="auto"/>
                      <w:sz w:val="20"/>
                      <w:szCs w:val="20"/>
                      <w:u w:val="none"/>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t>Road safety:</w:t>
                  </w:r>
                  <w:r>
                    <w:rPr>
                      <w:rStyle w:val="Hyperlink"/>
                      <w:rFonts w:ascii="Cambria" w:hAnsi="Cambria"/>
                      <w:color w:val="auto"/>
                      <w:sz w:val="20"/>
                      <w:szCs w:val="20"/>
                      <w:u w:val="none"/>
                    </w:rPr>
                    <w:t xml:space="preserve"> NTSA regional manager Bora </w:t>
                  </w:r>
                  <w:proofErr w:type="spellStart"/>
                  <w:r>
                    <w:rPr>
                      <w:rStyle w:val="Hyperlink"/>
                      <w:rFonts w:ascii="Cambria" w:hAnsi="Cambria"/>
                      <w:color w:val="auto"/>
                      <w:sz w:val="20"/>
                      <w:szCs w:val="20"/>
                      <w:u w:val="none"/>
                    </w:rPr>
                    <w:t>Guyo</w:t>
                  </w:r>
                  <w:proofErr w:type="spellEnd"/>
                  <w:r>
                    <w:rPr>
                      <w:rStyle w:val="Hyperlink"/>
                      <w:rFonts w:ascii="Cambria" w:hAnsi="Cambria"/>
                      <w:color w:val="auto"/>
                      <w:sz w:val="20"/>
                      <w:szCs w:val="20"/>
                      <w:u w:val="none"/>
                    </w:rPr>
                    <w:t xml:space="preserve"> (left) explains to </w:t>
                  </w:r>
                  <w:proofErr w:type="spellStart"/>
                  <w:r>
                    <w:rPr>
                      <w:rStyle w:val="Hyperlink"/>
                      <w:rFonts w:ascii="Cambria" w:hAnsi="Cambria"/>
                      <w:color w:val="auto"/>
                      <w:sz w:val="20"/>
                      <w:szCs w:val="20"/>
                      <w:u w:val="none"/>
                    </w:rPr>
                    <w:t>Nyeri</w:t>
                  </w:r>
                  <w:proofErr w:type="spellEnd"/>
                  <w:r>
                    <w:rPr>
                      <w:rStyle w:val="Hyperlink"/>
                      <w:rFonts w:ascii="Cambria" w:hAnsi="Cambria"/>
                      <w:color w:val="auto"/>
                      <w:sz w:val="20"/>
                      <w:szCs w:val="20"/>
                      <w:u w:val="none"/>
                    </w:rPr>
                    <w:t xml:space="preserve"> County Executive Committee member in charge of Education Margaret </w:t>
                  </w:r>
                  <w:proofErr w:type="spellStart"/>
                  <w:r>
                    <w:rPr>
                      <w:rStyle w:val="Hyperlink"/>
                      <w:rFonts w:ascii="Cambria" w:hAnsi="Cambria"/>
                      <w:color w:val="auto"/>
                      <w:sz w:val="20"/>
                      <w:szCs w:val="20"/>
                      <w:u w:val="none"/>
                    </w:rPr>
                    <w:t>Macharia</w:t>
                  </w:r>
                  <w:proofErr w:type="spellEnd"/>
                  <w:r>
                    <w:rPr>
                      <w:rStyle w:val="Hyperlink"/>
                      <w:rFonts w:ascii="Cambria" w:hAnsi="Cambria"/>
                      <w:color w:val="auto"/>
                      <w:sz w:val="20"/>
                      <w:szCs w:val="20"/>
                      <w:u w:val="none"/>
                    </w:rPr>
                    <w:t xml:space="preserve"> (right) and Insurance Regulatory Authority (IRA) CEO Godfrey </w:t>
                  </w:r>
                  <w:proofErr w:type="spellStart"/>
                  <w:r>
                    <w:rPr>
                      <w:rStyle w:val="Hyperlink"/>
                      <w:rFonts w:ascii="Cambria" w:hAnsi="Cambria"/>
                      <w:color w:val="auto"/>
                      <w:sz w:val="20"/>
                      <w:szCs w:val="20"/>
                      <w:u w:val="none"/>
                    </w:rPr>
                    <w:t>Kiptum</w:t>
                  </w:r>
                  <w:proofErr w:type="spellEnd"/>
                  <w:r>
                    <w:rPr>
                      <w:rStyle w:val="Hyperlink"/>
                      <w:rFonts w:ascii="Cambria" w:hAnsi="Cambria"/>
                      <w:color w:val="auto"/>
                      <w:sz w:val="20"/>
                      <w:szCs w:val="20"/>
                      <w:u w:val="none"/>
                    </w:rPr>
                    <w:t xml:space="preserve"> (second right) safety measures during a three-day insurance open day forum by IRA, at Whispers Park in </w:t>
                  </w:r>
                  <w:proofErr w:type="spellStart"/>
                  <w:r>
                    <w:rPr>
                      <w:rStyle w:val="Hyperlink"/>
                      <w:rFonts w:ascii="Cambria" w:hAnsi="Cambria"/>
                      <w:color w:val="auto"/>
                      <w:sz w:val="20"/>
                      <w:szCs w:val="20"/>
                      <w:u w:val="none"/>
                    </w:rPr>
                    <w:t>Nyeri</w:t>
                  </w:r>
                  <w:proofErr w:type="spellEnd"/>
                  <w:r>
                    <w:rPr>
                      <w:rStyle w:val="Hyperlink"/>
                      <w:rFonts w:ascii="Cambria" w:hAnsi="Cambria"/>
                      <w:color w:val="auto"/>
                      <w:sz w:val="20"/>
                      <w:szCs w:val="20"/>
                      <w:u w:val="none"/>
                    </w:rPr>
                    <w:t xml:space="preserve">. </w:t>
                  </w:r>
                  <w:hyperlink r:id="rId67" w:history="1">
                    <w:r>
                      <w:rPr>
                        <w:rStyle w:val="Hyperlink"/>
                        <w:rFonts w:ascii="Cambria" w:hAnsi="Cambria"/>
                        <w:b/>
                        <w:bCs/>
                        <w:sz w:val="20"/>
                        <w:szCs w:val="20"/>
                      </w:rPr>
                      <w:t>Read more</w:t>
                    </w:r>
                  </w:hyperlink>
                </w:p>
                <w:p w:rsidR="0099333E" w:rsidRDefault="0099333E" w:rsidP="0099333E">
                  <w:pPr>
                    <w:framePr w:hSpace="180" w:wrap="around" w:hAnchor="margin" w:y="-405"/>
                    <w:jc w:val="both"/>
                    <w:rPr>
                      <w:rStyle w:val="Hyperlink"/>
                      <w:rFonts w:ascii="Cambria" w:hAnsi="Cambria"/>
                      <w:b/>
                      <w:bCs/>
                      <w:color w:val="auto"/>
                      <w:sz w:val="20"/>
                      <w:szCs w:val="20"/>
                      <w:u w:val="none"/>
                    </w:rPr>
                  </w:pPr>
                </w:p>
                <w:p w:rsidR="0099333E" w:rsidRDefault="0099333E" w:rsidP="0099333E">
                  <w:pPr>
                    <w:framePr w:hSpace="180" w:wrap="around" w:hAnchor="margin" w:y="-405"/>
                    <w:jc w:val="both"/>
                    <w:rPr>
                      <w:rStyle w:val="Hyperlink"/>
                      <w:rFonts w:ascii="Cambria" w:hAnsi="Cambria"/>
                      <w:b/>
                      <w:bCs/>
                      <w:sz w:val="20"/>
                      <w:szCs w:val="20"/>
                    </w:rPr>
                  </w:pPr>
                  <w:r>
                    <w:rPr>
                      <w:rStyle w:val="Hyperlink"/>
                      <w:rFonts w:ascii="Cambria" w:hAnsi="Cambria"/>
                      <w:b/>
                      <w:bCs/>
                      <w:color w:val="auto"/>
                      <w:sz w:val="20"/>
                      <w:szCs w:val="20"/>
                      <w:u w:val="none"/>
                    </w:rPr>
                    <w:t>Why is Kenya still inadequately prepared for Covid-19?</w:t>
                  </w:r>
                  <w:r>
                    <w:rPr>
                      <w:rStyle w:val="Hyperlink"/>
                      <w:rFonts w:ascii="Cambria" w:hAnsi="Cambria"/>
                      <w:color w:val="auto"/>
                      <w:sz w:val="20"/>
                      <w:szCs w:val="20"/>
                      <w:u w:val="none"/>
                    </w:rPr>
                    <w:t xml:space="preserve"> When Kenya’s first Covid-19 case was diagnosed a year ago, the government went into frenzied activity to prepare the country. </w:t>
                  </w:r>
                  <w:proofErr w:type="gramStart"/>
                  <w:r>
                    <w:rPr>
                      <w:rStyle w:val="Hyperlink"/>
                      <w:rFonts w:ascii="Cambria" w:hAnsi="Cambria"/>
                      <w:color w:val="auto"/>
                      <w:sz w:val="20"/>
                      <w:szCs w:val="20"/>
                      <w:u w:val="none"/>
                    </w:rPr>
                    <w:t>more</w:t>
                  </w:r>
                  <w:proofErr w:type="gramEnd"/>
                  <w:r>
                    <w:rPr>
                      <w:rStyle w:val="Hyperlink"/>
                      <w:rFonts w:ascii="Cambria" w:hAnsi="Cambria"/>
                      <w:color w:val="auto"/>
                      <w:sz w:val="20"/>
                      <w:szCs w:val="20"/>
                      <w:u w:val="none"/>
                    </w:rPr>
                    <w:t xml:space="preserve">. By all accounts, Kenya will experience more Covid-19 waves until the virus is eliminated from the globe. CS </w:t>
                  </w:r>
                  <w:proofErr w:type="spellStart"/>
                  <w:r>
                    <w:rPr>
                      <w:rStyle w:val="Hyperlink"/>
                      <w:rFonts w:ascii="Cambria" w:hAnsi="Cambria"/>
                      <w:color w:val="auto"/>
                      <w:sz w:val="20"/>
                      <w:szCs w:val="20"/>
                      <w:u w:val="none"/>
                    </w:rPr>
                    <w:t>Kagwe</w:t>
                  </w:r>
                  <w:proofErr w:type="spellEnd"/>
                  <w:r>
                    <w:rPr>
                      <w:rStyle w:val="Hyperlink"/>
                      <w:rFonts w:ascii="Cambria" w:hAnsi="Cambria"/>
                      <w:color w:val="auto"/>
                      <w:sz w:val="20"/>
                      <w:szCs w:val="20"/>
                      <w:u w:val="none"/>
                    </w:rPr>
                    <w:t xml:space="preserve"> should start by mapping out the critical counties for immediate and concerted attention. Nairobi and its neighboring counties of </w:t>
                  </w:r>
                  <w:proofErr w:type="spellStart"/>
                  <w:r>
                    <w:rPr>
                      <w:rStyle w:val="Hyperlink"/>
                      <w:rFonts w:ascii="Cambria" w:hAnsi="Cambria"/>
                      <w:color w:val="auto"/>
                      <w:sz w:val="20"/>
                      <w:szCs w:val="20"/>
                      <w:u w:val="none"/>
                    </w:rPr>
                    <w:t>Kiambu</w:t>
                  </w:r>
                  <w:proofErr w:type="spellEnd"/>
                  <w:r>
                    <w:rPr>
                      <w:rStyle w:val="Hyperlink"/>
                      <w:rFonts w:ascii="Cambria" w:hAnsi="Cambria"/>
                      <w:color w:val="auto"/>
                      <w:sz w:val="20"/>
                      <w:szCs w:val="20"/>
                      <w:u w:val="none"/>
                    </w:rPr>
                    <w:t xml:space="preserve">, </w:t>
                  </w:r>
                  <w:proofErr w:type="spellStart"/>
                  <w:r>
                    <w:rPr>
                      <w:rStyle w:val="Hyperlink"/>
                      <w:rFonts w:ascii="Cambria" w:hAnsi="Cambria"/>
                      <w:color w:val="auto"/>
                      <w:sz w:val="20"/>
                      <w:szCs w:val="20"/>
                      <w:u w:val="none"/>
                    </w:rPr>
                    <w:t>Kajiado</w:t>
                  </w:r>
                  <w:proofErr w:type="spellEnd"/>
                  <w:r>
                    <w:rPr>
                      <w:rStyle w:val="Hyperlink"/>
                      <w:rFonts w:ascii="Cambria" w:hAnsi="Cambria"/>
                      <w:color w:val="auto"/>
                      <w:sz w:val="20"/>
                      <w:szCs w:val="20"/>
                      <w:u w:val="none"/>
                    </w:rPr>
                    <w:t xml:space="preserve"> and </w:t>
                  </w:r>
                  <w:proofErr w:type="spellStart"/>
                  <w:r>
                    <w:rPr>
                      <w:rStyle w:val="Hyperlink"/>
                      <w:rFonts w:ascii="Cambria" w:hAnsi="Cambria"/>
                      <w:color w:val="auto"/>
                      <w:sz w:val="20"/>
                      <w:szCs w:val="20"/>
                      <w:u w:val="none"/>
                    </w:rPr>
                    <w:t>Machakos</w:t>
                  </w:r>
                  <w:proofErr w:type="spellEnd"/>
                  <w:r>
                    <w:rPr>
                      <w:rStyle w:val="Hyperlink"/>
                      <w:rFonts w:ascii="Cambria" w:hAnsi="Cambria"/>
                      <w:color w:val="auto"/>
                      <w:sz w:val="20"/>
                      <w:szCs w:val="20"/>
                      <w:u w:val="none"/>
                    </w:rPr>
                    <w:t xml:space="preserve"> are among that list, as are Mombasa and </w:t>
                  </w:r>
                  <w:proofErr w:type="spellStart"/>
                  <w:r>
                    <w:rPr>
                      <w:rStyle w:val="Hyperlink"/>
                      <w:rFonts w:ascii="Cambria" w:hAnsi="Cambria"/>
                      <w:color w:val="auto"/>
                      <w:sz w:val="20"/>
                      <w:szCs w:val="20"/>
                      <w:u w:val="none"/>
                    </w:rPr>
                    <w:t>Nakuru</w:t>
                  </w:r>
                  <w:proofErr w:type="spellEnd"/>
                  <w:r>
                    <w:rPr>
                      <w:rStyle w:val="Hyperlink"/>
                      <w:rFonts w:ascii="Cambria" w:hAnsi="Cambria"/>
                      <w:color w:val="auto"/>
                      <w:sz w:val="20"/>
                      <w:szCs w:val="20"/>
                      <w:u w:val="none"/>
                    </w:rPr>
                    <w:t xml:space="preserve">. The insurance industry is stuck in their own small corner as usual, loath to touch anything </w:t>
                  </w:r>
                  <w:r>
                    <w:rPr>
                      <w:rStyle w:val="Hyperlink"/>
                      <w:rFonts w:ascii="Cambria" w:hAnsi="Cambria"/>
                      <w:color w:val="auto"/>
                      <w:sz w:val="20"/>
                      <w:szCs w:val="20"/>
                      <w:u w:val="none"/>
                    </w:rPr>
                    <w:lastRenderedPageBreak/>
                    <w:t xml:space="preserve">that is not traditional or novel. A huge opportunity is passing them by with </w:t>
                  </w:r>
                  <w:proofErr w:type="spellStart"/>
                  <w:r>
                    <w:rPr>
                      <w:rStyle w:val="Hyperlink"/>
                      <w:rFonts w:ascii="Cambria" w:hAnsi="Cambria"/>
                      <w:color w:val="auto"/>
                      <w:sz w:val="20"/>
                      <w:szCs w:val="20"/>
                      <w:u w:val="none"/>
                    </w:rPr>
                    <w:t>covid</w:t>
                  </w:r>
                  <w:proofErr w:type="spellEnd"/>
                  <w:r>
                    <w:rPr>
                      <w:rStyle w:val="Hyperlink"/>
                      <w:rFonts w:ascii="Cambria" w:hAnsi="Cambria"/>
                      <w:color w:val="auto"/>
                      <w:sz w:val="20"/>
                      <w:szCs w:val="20"/>
                      <w:u w:val="none"/>
                    </w:rPr>
                    <w:t xml:space="preserve">. </w:t>
                  </w:r>
                  <w:r>
                    <w:rPr>
                      <w:rStyle w:val="Hyperlink"/>
                      <w:rFonts w:ascii="Cambria" w:hAnsi="Cambria"/>
                      <w:b/>
                      <w:bCs/>
                      <w:sz w:val="20"/>
                      <w:szCs w:val="20"/>
                    </w:rPr>
                    <w:t>Read more</w:t>
                  </w:r>
                </w:p>
                <w:p w:rsidR="0099333E" w:rsidRDefault="0099333E" w:rsidP="0099333E">
                  <w:pPr>
                    <w:framePr w:hSpace="180" w:wrap="around" w:hAnchor="margin" w:y="-405"/>
                    <w:shd w:val="clear" w:color="auto" w:fill="FFFFFF"/>
                    <w:jc w:val="both"/>
                    <w:rPr>
                      <w:shd w:val="clear" w:color="auto" w:fill="00B050"/>
                    </w:rPr>
                  </w:pPr>
                </w:p>
              </w:tc>
            </w:tr>
          </w:tbl>
          <w:p w:rsidR="0099333E" w:rsidRDefault="0099333E" w:rsidP="0099333E">
            <w:pPr>
              <w:shd w:val="clear" w:color="auto" w:fill="F4B083"/>
              <w:rPr>
                <w:rFonts w:ascii="Cambria" w:hAnsi="Cambria"/>
                <w:b/>
                <w:bCs/>
                <w:sz w:val="20"/>
                <w:szCs w:val="20"/>
              </w:rPr>
            </w:pPr>
            <w:proofErr w:type="spellStart"/>
            <w:r>
              <w:rPr>
                <w:rFonts w:ascii="Cambria" w:hAnsi="Cambria"/>
                <w:b/>
                <w:bCs/>
                <w:sz w:val="20"/>
                <w:szCs w:val="20"/>
              </w:rPr>
              <w:lastRenderedPageBreak/>
              <w:t>Taifa</w:t>
            </w:r>
            <w:proofErr w:type="spellEnd"/>
            <w:r>
              <w:rPr>
                <w:rFonts w:ascii="Cambria" w:hAnsi="Cambria"/>
                <w:b/>
                <w:bCs/>
                <w:sz w:val="20"/>
                <w:szCs w:val="20"/>
              </w:rPr>
              <w:t xml:space="preserve"> Leo</w:t>
            </w:r>
          </w:p>
          <w:tbl>
            <w:tblPr>
              <w:tblW w:w="0" w:type="dxa"/>
              <w:tblCellMar>
                <w:left w:w="0" w:type="dxa"/>
                <w:right w:w="0" w:type="dxa"/>
              </w:tblCellMar>
              <w:tblLook w:val="04A0" w:firstRow="1" w:lastRow="0" w:firstColumn="1" w:lastColumn="0" w:noHBand="0" w:noVBand="1"/>
            </w:tblPr>
            <w:tblGrid>
              <w:gridCol w:w="4386"/>
              <w:gridCol w:w="7612"/>
            </w:tblGrid>
            <w:tr w:rsidR="0099333E">
              <w:trPr>
                <w:trHeight w:val="2624"/>
              </w:trPr>
              <w:tc>
                <w:tcPr>
                  <w:tcW w:w="4065" w:type="dxa"/>
                  <w:tcMar>
                    <w:top w:w="0" w:type="dxa"/>
                    <w:left w:w="108" w:type="dxa"/>
                    <w:bottom w:w="0" w:type="dxa"/>
                    <w:right w:w="108" w:type="dxa"/>
                  </w:tcMar>
                  <w:hideMark/>
                </w:tcPr>
                <w:p w:rsidR="0099333E" w:rsidRDefault="0099333E" w:rsidP="0099333E">
                  <w:pPr>
                    <w:framePr w:hSpace="180" w:wrap="around" w:hAnchor="margin" w:y="-405"/>
                    <w:rPr>
                      <w:rFonts w:ascii="Cambria" w:hAnsi="Cambria"/>
                      <w:sz w:val="20"/>
                      <w:szCs w:val="20"/>
                    </w:rPr>
                  </w:pPr>
                  <w:r>
                    <w:rPr>
                      <w:noProof/>
                    </w:rPr>
                    <w:lastRenderedPageBreak/>
                    <w:drawing>
                      <wp:inline distT="0" distB="0" distL="0" distR="0">
                        <wp:extent cx="2647950" cy="4514850"/>
                        <wp:effectExtent l="0" t="0" r="0" b="0"/>
                        <wp:docPr id="1" name="Picture 1" descr="cid:image017.jpg@01D72485.323C9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id:image017.jpg@01D72485.323C9380"/>
                                <pic:cNvPicPr>
                                  <a:picLocks noChangeAspect="1" noChangeArrowheads="1"/>
                                </pic:cNvPicPr>
                              </pic:nvPicPr>
                              <pic:blipFill>
                                <a:blip r:embed="rId68" r:link="rId69">
                                  <a:extLst>
                                    <a:ext uri="{28A0092B-C50C-407E-A947-70E740481C1C}">
                                      <a14:useLocalDpi xmlns:a14="http://schemas.microsoft.com/office/drawing/2010/main" val="0"/>
                                    </a:ext>
                                  </a:extLst>
                                </a:blip>
                                <a:srcRect/>
                                <a:stretch>
                                  <a:fillRect/>
                                </a:stretch>
                              </pic:blipFill>
                              <pic:spPr bwMode="auto">
                                <a:xfrm>
                                  <a:off x="0" y="0"/>
                                  <a:ext cx="2647950" cy="4514850"/>
                                </a:xfrm>
                                <a:prstGeom prst="rect">
                                  <a:avLst/>
                                </a:prstGeom>
                                <a:noFill/>
                                <a:ln>
                                  <a:noFill/>
                                </a:ln>
                              </pic:spPr>
                            </pic:pic>
                          </a:graphicData>
                        </a:graphic>
                      </wp:inline>
                    </w:drawing>
                  </w:r>
                </w:p>
              </w:tc>
              <w:tc>
                <w:tcPr>
                  <w:tcW w:w="7612" w:type="dxa"/>
                  <w:tcMar>
                    <w:top w:w="0" w:type="dxa"/>
                    <w:left w:w="108" w:type="dxa"/>
                    <w:bottom w:w="0" w:type="dxa"/>
                    <w:right w:w="108" w:type="dxa"/>
                  </w:tcMar>
                </w:tcPr>
                <w:p w:rsidR="0099333E" w:rsidRDefault="0099333E" w:rsidP="0099333E">
                  <w:pPr>
                    <w:framePr w:hSpace="180" w:wrap="around" w:hAnchor="margin" w:y="-405"/>
                    <w:rPr>
                      <w:rFonts w:ascii="Cambria" w:hAnsi="Cambria"/>
                      <w:b/>
                      <w:bCs/>
                      <w:sz w:val="20"/>
                      <w:szCs w:val="20"/>
                    </w:rPr>
                  </w:pPr>
                  <w:proofErr w:type="spellStart"/>
                  <w:r>
                    <w:rPr>
                      <w:rFonts w:ascii="Cambria" w:hAnsi="Cambria"/>
                      <w:b/>
                      <w:bCs/>
                      <w:sz w:val="20"/>
                      <w:szCs w:val="20"/>
                    </w:rPr>
                    <w:t>Ufisadi</w:t>
                  </w:r>
                  <w:proofErr w:type="spellEnd"/>
                  <w:r>
                    <w:rPr>
                      <w:rFonts w:ascii="Cambria" w:hAnsi="Cambria"/>
                      <w:b/>
                      <w:bCs/>
                      <w:sz w:val="20"/>
                      <w:szCs w:val="20"/>
                    </w:rPr>
                    <w:t xml:space="preserve"> </w:t>
                  </w:r>
                  <w:proofErr w:type="spellStart"/>
                  <w:r>
                    <w:rPr>
                      <w:rFonts w:ascii="Cambria" w:hAnsi="Cambria"/>
                      <w:b/>
                      <w:bCs/>
                      <w:sz w:val="20"/>
                      <w:szCs w:val="20"/>
                    </w:rPr>
                    <w:t>wavunja</w:t>
                  </w:r>
                  <w:proofErr w:type="spellEnd"/>
                  <w:r>
                    <w:rPr>
                      <w:rFonts w:ascii="Cambria" w:hAnsi="Cambria"/>
                      <w:b/>
                      <w:bCs/>
                      <w:sz w:val="20"/>
                      <w:szCs w:val="20"/>
                    </w:rPr>
                    <w:t xml:space="preserve"> </w:t>
                  </w:r>
                  <w:proofErr w:type="spellStart"/>
                  <w:r>
                    <w:rPr>
                      <w:rFonts w:ascii="Cambria" w:hAnsi="Cambria"/>
                      <w:b/>
                      <w:bCs/>
                      <w:sz w:val="20"/>
                      <w:szCs w:val="20"/>
                    </w:rPr>
                    <w:t>raiya</w:t>
                  </w:r>
                  <w:proofErr w:type="spellEnd"/>
                  <w:r>
                    <w:rPr>
                      <w:rFonts w:ascii="Cambria" w:hAnsi="Cambria"/>
                      <w:b/>
                      <w:bCs/>
                      <w:sz w:val="20"/>
                      <w:szCs w:val="20"/>
                    </w:rPr>
                    <w:t xml:space="preserve"> </w:t>
                  </w:r>
                  <w:proofErr w:type="spellStart"/>
                  <w:r>
                    <w:rPr>
                      <w:rFonts w:ascii="Cambria" w:hAnsi="Cambria"/>
                      <w:b/>
                      <w:bCs/>
                      <w:sz w:val="20"/>
                      <w:szCs w:val="20"/>
                    </w:rPr>
                    <w:t>moyo</w:t>
                  </w:r>
                  <w:proofErr w:type="spellEnd"/>
                  <w:r>
                    <w:rPr>
                      <w:rFonts w:ascii="Cambria" w:hAnsi="Cambria"/>
                      <w:b/>
                      <w:bCs/>
                      <w:sz w:val="20"/>
                      <w:szCs w:val="20"/>
                    </w:rPr>
                    <w:t xml:space="preserve"> </w:t>
                  </w:r>
                  <w:proofErr w:type="spellStart"/>
                  <w:r>
                    <w:rPr>
                      <w:rFonts w:ascii="Cambria" w:hAnsi="Cambria"/>
                      <w:b/>
                      <w:bCs/>
                      <w:sz w:val="20"/>
                      <w:szCs w:val="20"/>
                    </w:rPr>
                    <w:t>wa</w:t>
                  </w:r>
                  <w:proofErr w:type="spellEnd"/>
                  <w:r>
                    <w:rPr>
                      <w:rFonts w:ascii="Cambria" w:hAnsi="Cambria"/>
                      <w:b/>
                      <w:bCs/>
                      <w:sz w:val="20"/>
                      <w:szCs w:val="20"/>
                    </w:rPr>
                    <w:t xml:space="preserve"> </w:t>
                  </w:r>
                  <w:proofErr w:type="spellStart"/>
                  <w:r>
                    <w:rPr>
                      <w:rFonts w:ascii="Cambria" w:hAnsi="Cambria"/>
                      <w:b/>
                      <w:bCs/>
                      <w:sz w:val="20"/>
                      <w:szCs w:val="20"/>
                    </w:rPr>
                    <w:t>kulipa</w:t>
                  </w:r>
                  <w:proofErr w:type="spellEnd"/>
                  <w:r>
                    <w:rPr>
                      <w:rFonts w:ascii="Cambria" w:hAnsi="Cambria"/>
                      <w:b/>
                      <w:bCs/>
                      <w:sz w:val="20"/>
                      <w:szCs w:val="20"/>
                    </w:rPr>
                    <w:t xml:space="preserve"> </w:t>
                  </w:r>
                  <w:proofErr w:type="spellStart"/>
                  <w:r>
                    <w:rPr>
                      <w:rFonts w:ascii="Cambria" w:hAnsi="Cambria"/>
                      <w:b/>
                      <w:bCs/>
                      <w:sz w:val="20"/>
                      <w:szCs w:val="20"/>
                    </w:rPr>
                    <w:t>ushuru</w:t>
                  </w:r>
                  <w:proofErr w:type="spellEnd"/>
                  <w:r>
                    <w:rPr>
                      <w:rFonts w:ascii="Cambria" w:hAnsi="Cambria"/>
                      <w:b/>
                      <w:bCs/>
                      <w:sz w:val="20"/>
                      <w:szCs w:val="20"/>
                    </w:rPr>
                    <w:t xml:space="preserve">; </w:t>
                  </w:r>
                  <w:r>
                    <w:rPr>
                      <w:rFonts w:ascii="Cambria" w:hAnsi="Cambria"/>
                      <w:sz w:val="20"/>
                      <w:szCs w:val="20"/>
                    </w:rPr>
                    <w:t>The high levels of corruption in the Country have made Kenyans have bad opinion about paying tax, and service delivery. Tax collection method should not be a secret. Kenyans should know what amount they are contributing, and the way they are being used to run services like NHIF, HSSF and others</w:t>
                  </w:r>
                  <w:r>
                    <w:rPr>
                      <w:rFonts w:ascii="Cambria" w:hAnsi="Cambria"/>
                      <w:b/>
                      <w:bCs/>
                      <w:sz w:val="20"/>
                      <w:szCs w:val="20"/>
                    </w:rPr>
                    <w:t xml:space="preserve">. </w:t>
                  </w:r>
                  <w:hyperlink r:id="rId70" w:history="1">
                    <w:r>
                      <w:rPr>
                        <w:rStyle w:val="Hyperlink"/>
                        <w:rFonts w:ascii="Cambria" w:hAnsi="Cambria"/>
                        <w:b/>
                        <w:bCs/>
                        <w:sz w:val="20"/>
                        <w:szCs w:val="20"/>
                      </w:rPr>
                      <w:t>Read more</w:t>
                    </w:r>
                  </w:hyperlink>
                </w:p>
                <w:p w:rsidR="0099333E" w:rsidRDefault="0099333E" w:rsidP="0099333E">
                  <w:pPr>
                    <w:framePr w:hSpace="180" w:wrap="around" w:hAnchor="margin" w:y="-405"/>
                    <w:rPr>
                      <w:rFonts w:ascii="Cambria" w:hAnsi="Cambria"/>
                      <w:b/>
                      <w:bCs/>
                      <w:sz w:val="20"/>
                      <w:szCs w:val="20"/>
                    </w:rPr>
                  </w:pPr>
                </w:p>
                <w:p w:rsidR="0099333E" w:rsidRDefault="0099333E" w:rsidP="0099333E">
                  <w:pPr>
                    <w:framePr w:hSpace="180" w:wrap="around" w:hAnchor="margin" w:y="-405"/>
                    <w:rPr>
                      <w:rFonts w:ascii="Cambria" w:hAnsi="Cambria"/>
                      <w:sz w:val="20"/>
                      <w:szCs w:val="20"/>
                    </w:rPr>
                  </w:pPr>
                  <w:proofErr w:type="spellStart"/>
                  <w:r>
                    <w:rPr>
                      <w:rFonts w:ascii="Cambria" w:hAnsi="Cambria"/>
                      <w:b/>
                      <w:bCs/>
                      <w:sz w:val="20"/>
                      <w:szCs w:val="20"/>
                    </w:rPr>
                    <w:t>Lishe</w:t>
                  </w:r>
                  <w:proofErr w:type="spellEnd"/>
                  <w:r>
                    <w:rPr>
                      <w:rFonts w:ascii="Cambria" w:hAnsi="Cambria"/>
                      <w:b/>
                      <w:bCs/>
                      <w:sz w:val="20"/>
                      <w:szCs w:val="20"/>
                    </w:rPr>
                    <w:t xml:space="preserve"> </w:t>
                  </w:r>
                  <w:proofErr w:type="spellStart"/>
                  <w:r>
                    <w:rPr>
                      <w:rFonts w:ascii="Cambria" w:hAnsi="Cambria"/>
                      <w:b/>
                      <w:bCs/>
                      <w:sz w:val="20"/>
                      <w:szCs w:val="20"/>
                    </w:rPr>
                    <w:t>Mbovu</w:t>
                  </w:r>
                  <w:proofErr w:type="spellEnd"/>
                  <w:r>
                    <w:rPr>
                      <w:rFonts w:ascii="Cambria" w:hAnsi="Cambria"/>
                      <w:b/>
                      <w:bCs/>
                      <w:sz w:val="20"/>
                      <w:szCs w:val="20"/>
                    </w:rPr>
                    <w:t xml:space="preserve">, </w:t>
                  </w:r>
                  <w:proofErr w:type="spellStart"/>
                  <w:r>
                    <w:rPr>
                      <w:rFonts w:ascii="Cambria" w:hAnsi="Cambria"/>
                      <w:b/>
                      <w:bCs/>
                      <w:sz w:val="20"/>
                      <w:szCs w:val="20"/>
                    </w:rPr>
                    <w:t>Madaktari</w:t>
                  </w:r>
                  <w:proofErr w:type="spellEnd"/>
                  <w:r>
                    <w:rPr>
                      <w:rFonts w:ascii="Cambria" w:hAnsi="Cambria"/>
                      <w:b/>
                      <w:bCs/>
                      <w:sz w:val="20"/>
                      <w:szCs w:val="20"/>
                    </w:rPr>
                    <w:t xml:space="preserve"> </w:t>
                  </w:r>
                  <w:proofErr w:type="spellStart"/>
                  <w:r>
                    <w:rPr>
                      <w:rFonts w:ascii="Cambria" w:hAnsi="Cambria"/>
                      <w:b/>
                      <w:bCs/>
                      <w:sz w:val="20"/>
                      <w:szCs w:val="20"/>
                    </w:rPr>
                    <w:t>feki</w:t>
                  </w:r>
                  <w:proofErr w:type="spellEnd"/>
                  <w:r>
                    <w:rPr>
                      <w:rFonts w:ascii="Cambria" w:hAnsi="Cambria"/>
                      <w:b/>
                      <w:bCs/>
                      <w:sz w:val="20"/>
                      <w:szCs w:val="20"/>
                    </w:rPr>
                    <w:t xml:space="preserve"> </w:t>
                  </w:r>
                  <w:proofErr w:type="spellStart"/>
                  <w:r>
                    <w:rPr>
                      <w:rFonts w:ascii="Cambria" w:hAnsi="Cambria"/>
                      <w:b/>
                      <w:bCs/>
                      <w:sz w:val="20"/>
                      <w:szCs w:val="20"/>
                    </w:rPr>
                    <w:t>wanavyoua</w:t>
                  </w:r>
                  <w:proofErr w:type="spellEnd"/>
                  <w:r>
                    <w:rPr>
                      <w:rFonts w:ascii="Cambria" w:hAnsi="Cambria"/>
                      <w:b/>
                      <w:bCs/>
                      <w:sz w:val="20"/>
                      <w:szCs w:val="20"/>
                    </w:rPr>
                    <w:t xml:space="preserve"> </w:t>
                  </w:r>
                  <w:proofErr w:type="spellStart"/>
                  <w:r>
                    <w:rPr>
                      <w:rFonts w:ascii="Cambria" w:hAnsi="Cambria"/>
                      <w:b/>
                      <w:bCs/>
                      <w:sz w:val="20"/>
                      <w:szCs w:val="20"/>
                    </w:rPr>
                    <w:t>biashara</w:t>
                  </w:r>
                  <w:proofErr w:type="spellEnd"/>
                  <w:r>
                    <w:rPr>
                      <w:rFonts w:ascii="Cambria" w:hAnsi="Cambria"/>
                      <w:b/>
                      <w:bCs/>
                      <w:sz w:val="20"/>
                      <w:szCs w:val="20"/>
                    </w:rPr>
                    <w:t xml:space="preserve"> </w:t>
                  </w:r>
                  <w:proofErr w:type="spellStart"/>
                  <w:r>
                    <w:rPr>
                      <w:rFonts w:ascii="Cambria" w:hAnsi="Cambria"/>
                      <w:b/>
                      <w:bCs/>
                      <w:sz w:val="20"/>
                      <w:szCs w:val="20"/>
                    </w:rPr>
                    <w:t>ya</w:t>
                  </w:r>
                  <w:proofErr w:type="spellEnd"/>
                  <w:r>
                    <w:rPr>
                      <w:rFonts w:ascii="Cambria" w:hAnsi="Cambria"/>
                      <w:b/>
                      <w:bCs/>
                      <w:sz w:val="20"/>
                      <w:szCs w:val="20"/>
                    </w:rPr>
                    <w:t xml:space="preserve"> </w:t>
                  </w:r>
                  <w:proofErr w:type="spellStart"/>
                  <w:r>
                    <w:rPr>
                      <w:rFonts w:ascii="Cambria" w:hAnsi="Cambria"/>
                      <w:b/>
                      <w:bCs/>
                      <w:sz w:val="20"/>
                      <w:szCs w:val="20"/>
                    </w:rPr>
                    <w:t>ufugaji</w:t>
                  </w:r>
                  <w:proofErr w:type="spellEnd"/>
                  <w:r>
                    <w:rPr>
                      <w:rFonts w:ascii="Cambria" w:hAnsi="Cambria"/>
                      <w:b/>
                      <w:bCs/>
                      <w:sz w:val="20"/>
                      <w:szCs w:val="20"/>
                    </w:rPr>
                    <w:t>;</w:t>
                  </w:r>
                  <w:r>
                    <w:rPr>
                      <w:rFonts w:ascii="Cambria" w:hAnsi="Cambria"/>
                      <w:sz w:val="20"/>
                      <w:szCs w:val="20"/>
                    </w:rPr>
                    <w:t xml:space="preserve"> Prior to joining the pig industry in 2015, Esther </w:t>
                  </w:r>
                  <w:proofErr w:type="spellStart"/>
                  <w:r>
                    <w:rPr>
                      <w:rFonts w:ascii="Cambria" w:hAnsi="Cambria"/>
                      <w:sz w:val="20"/>
                      <w:szCs w:val="20"/>
                    </w:rPr>
                    <w:t>Kiarie</w:t>
                  </w:r>
                  <w:proofErr w:type="spellEnd"/>
                  <w:r>
                    <w:rPr>
                      <w:rFonts w:ascii="Cambria" w:hAnsi="Cambria"/>
                      <w:sz w:val="20"/>
                      <w:szCs w:val="20"/>
                    </w:rPr>
                    <w:t xml:space="preserve"> was a cattle and poultry farmer. However, Esther </w:t>
                  </w:r>
                  <w:proofErr w:type="spellStart"/>
                  <w:r>
                    <w:rPr>
                      <w:rFonts w:ascii="Cambria" w:hAnsi="Cambria"/>
                      <w:sz w:val="20"/>
                      <w:szCs w:val="20"/>
                    </w:rPr>
                    <w:t>Kiarie</w:t>
                  </w:r>
                  <w:proofErr w:type="spellEnd"/>
                  <w:r>
                    <w:rPr>
                      <w:rFonts w:ascii="Cambria" w:hAnsi="Cambria"/>
                      <w:sz w:val="20"/>
                      <w:szCs w:val="20"/>
                    </w:rPr>
                    <w:t xml:space="preserve"> was fed up with the herd for what she described as "constant losses, contributed by the proliferation of counterfeit medicines, unqualified specialists, minerals and animal feed that did not meet the quality of the product." She embraced the profession in order to earn a living, so it was commercial farming. "The second cow to lose was with health insurance of Sh150</w:t>
                  </w:r>
                  <w:proofErr w:type="gramStart"/>
                  <w:r>
                    <w:rPr>
                      <w:rFonts w:ascii="Cambria" w:hAnsi="Cambria"/>
                      <w:sz w:val="20"/>
                      <w:szCs w:val="20"/>
                    </w:rPr>
                    <w:t>,000</w:t>
                  </w:r>
                  <w:proofErr w:type="gramEnd"/>
                  <w:r>
                    <w:rPr>
                      <w:rFonts w:ascii="Cambria" w:hAnsi="Cambria"/>
                      <w:sz w:val="20"/>
                      <w:szCs w:val="20"/>
                    </w:rPr>
                    <w:t xml:space="preserve">," she says, estimating his losses. </w:t>
                  </w:r>
                  <w:hyperlink r:id="rId71" w:history="1">
                    <w:r>
                      <w:rPr>
                        <w:rStyle w:val="Hyperlink"/>
                        <w:rFonts w:ascii="Cambria" w:hAnsi="Cambria"/>
                        <w:b/>
                        <w:bCs/>
                        <w:sz w:val="20"/>
                        <w:szCs w:val="20"/>
                      </w:rPr>
                      <w:t>Read more</w:t>
                    </w:r>
                  </w:hyperlink>
                </w:p>
              </w:tc>
            </w:tr>
          </w:tbl>
          <w:p w:rsidR="0099333E" w:rsidRDefault="0099333E" w:rsidP="0099333E">
            <w:pPr>
              <w:rPr>
                <w:rFonts w:ascii="Cambria" w:hAnsi="Cambria"/>
                <w:b/>
                <w:bCs/>
                <w:sz w:val="20"/>
                <w:szCs w:val="20"/>
              </w:rPr>
            </w:pPr>
          </w:p>
          <w:p w:rsidR="0099333E" w:rsidRDefault="0099333E" w:rsidP="0099333E">
            <w:pPr>
              <w:rPr>
                <w:rFonts w:ascii="Cambria" w:hAnsi="Cambria"/>
                <w:sz w:val="20"/>
                <w:szCs w:val="20"/>
              </w:rPr>
            </w:pPr>
          </w:p>
        </w:tc>
      </w:tr>
      <w:tr w:rsidR="0099333E" w:rsidTr="0099333E">
        <w:trPr>
          <w:trHeight w:val="12504"/>
        </w:trPr>
        <w:tc>
          <w:tcPr>
            <w:tcW w:w="12470"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9333E" w:rsidRDefault="0099333E" w:rsidP="0099333E">
            <w:pPr>
              <w:jc w:val="both"/>
              <w:rPr>
                <w:rFonts w:ascii="Cambria" w:hAnsi="Cambria"/>
                <w:b/>
                <w:bCs/>
              </w:rPr>
            </w:pPr>
            <w:r>
              <w:rPr>
                <w:rFonts w:ascii="Cambria" w:hAnsi="Cambria"/>
                <w:b/>
                <w:bCs/>
                <w:highlight w:val="yellow"/>
              </w:rPr>
              <w:lastRenderedPageBreak/>
              <w:t>Social media watch...</w:t>
            </w:r>
          </w:p>
          <w:p w:rsidR="0099333E" w:rsidRDefault="0099333E" w:rsidP="0099333E">
            <w:pPr>
              <w:jc w:val="both"/>
              <w:rPr>
                <w:rFonts w:ascii="Cambria" w:hAnsi="Cambria"/>
                <w:b/>
                <w:bCs/>
              </w:rPr>
            </w:pPr>
          </w:p>
          <w:p w:rsidR="0099333E" w:rsidRDefault="0099333E" w:rsidP="0099333E">
            <w:pPr>
              <w:jc w:val="both"/>
              <w:rPr>
                <w:rFonts w:ascii="Cambria" w:hAnsi="Cambria"/>
              </w:rPr>
            </w:pPr>
            <w:r>
              <w:rPr>
                <w:rFonts w:ascii="Cambria" w:hAnsi="Cambria"/>
                <w:b/>
                <w:bCs/>
                <w:i/>
                <w:iCs/>
              </w:rPr>
              <w:t>Kenyan Wall Street:</w:t>
            </w:r>
            <w:r>
              <w:rPr>
                <w:rFonts w:ascii="Cambria" w:hAnsi="Cambria"/>
              </w:rPr>
              <w:t xml:space="preserve"> </w:t>
            </w:r>
            <w:r>
              <w:rPr>
                <w:rFonts w:ascii="Cambria" w:hAnsi="Cambria"/>
                <w:b/>
                <w:bCs/>
              </w:rPr>
              <w:t>CIC Insurance Posts KSh297 Million Loss in 2020:</w:t>
            </w:r>
            <w:r>
              <w:rPr>
                <w:rFonts w:ascii="Cambria" w:hAnsi="Cambria"/>
              </w:rPr>
              <w:t xml:space="preserve"> CIC Insurance Group, one of the largest insurers in East Africa, has reported a net loss of KSh297 million for the full-year period that ended on 31st December 2020, a sharp drop from the KSh322 million net profit posted at the end of 2019.The insurer’s gross written premiums decreased to KSh16.99 billion at the end of 2020, from KSh17.7 billion at the end of 2019. CIC’s claims and policyholder benefits also fell to KSh9.95 billion from KSh10.04 billion the year </w:t>
            </w:r>
            <w:proofErr w:type="spellStart"/>
            <w:r>
              <w:rPr>
                <w:rFonts w:ascii="Cambria" w:hAnsi="Cambria"/>
              </w:rPr>
              <w:t>before.Like</w:t>
            </w:r>
            <w:proofErr w:type="spellEnd"/>
            <w:r>
              <w:rPr>
                <w:rFonts w:ascii="Cambria" w:hAnsi="Cambria"/>
              </w:rPr>
              <w:t xml:space="preserve"> most businesses in Kenya, CIC Insurance group was adversely affected by the covid19 pandemic. The company made some adjustments to cope with the effects of the pandemic including, investing in short term investments to avoid market volatility, moving most workers to remote working, and digitizing most of its business operations.</w:t>
            </w:r>
          </w:p>
          <w:p w:rsidR="0099333E" w:rsidRDefault="0099333E" w:rsidP="0099333E">
            <w:pPr>
              <w:jc w:val="both"/>
              <w:rPr>
                <w:rFonts w:ascii="Cambria" w:hAnsi="Cambria"/>
              </w:rPr>
            </w:pPr>
            <w:hyperlink r:id="rId72" w:history="1">
              <w:r>
                <w:rPr>
                  <w:rStyle w:val="Hyperlink"/>
                  <w:rFonts w:ascii="Cambria" w:hAnsi="Cambria"/>
                </w:rPr>
                <w:t>https://kenyanwallstreet.com/cic-insurance-posts-ksh297-million-loss-in-2020/</w:t>
              </w:r>
            </w:hyperlink>
          </w:p>
          <w:p w:rsidR="0099333E" w:rsidRDefault="0099333E" w:rsidP="0099333E">
            <w:pPr>
              <w:jc w:val="both"/>
              <w:rPr>
                <w:rFonts w:ascii="Cambria" w:hAnsi="Cambria"/>
              </w:rPr>
            </w:pPr>
          </w:p>
          <w:p w:rsidR="0099333E" w:rsidRDefault="0099333E" w:rsidP="0099333E">
            <w:pPr>
              <w:jc w:val="both"/>
              <w:rPr>
                <w:rFonts w:ascii="Cambria" w:hAnsi="Cambria"/>
              </w:rPr>
            </w:pPr>
            <w:r>
              <w:rPr>
                <w:rFonts w:ascii="Cambria" w:hAnsi="Cambria"/>
                <w:b/>
                <w:bCs/>
                <w:i/>
                <w:iCs/>
              </w:rPr>
              <w:t xml:space="preserve">BD Africa: </w:t>
            </w:r>
            <w:r>
              <w:rPr>
                <w:rFonts w:ascii="Cambria" w:hAnsi="Cambria"/>
                <w:b/>
                <w:bCs/>
              </w:rPr>
              <w:t>CIC Insurance posts first loss of Sh297m after 13- year run:</w:t>
            </w:r>
            <w:r>
              <w:rPr>
                <w:rFonts w:ascii="Cambria" w:hAnsi="Cambria"/>
              </w:rPr>
              <w:t xml:space="preserve"> CIC Insurance Group  posted a Sh296.8 million net loss in the year ended December, breaking its 13-year profit-making run that goes back to 2007.It also marks the first full-year loss to be reported by the company since it listed on the Nairobi Securities Exchange (NSE) by introduction on July 18, 2012.The insurer’s loss in the review period came on the back of higher taxation and reduced premiums, reversing the net profit of Sh321.5 million recorded a year earlier.Net earned premiums shrunk by Sh458 million to Sh13.9 billion. Insurers have struggled to grow premiums in the Covid-19 pandemic era that has caused economic disruption, including job losses and reduced corporate earnings paid a larger tax bill of Sh217.2 million in the review period on a pre-tax loss of Sh79.5 million.</w:t>
            </w:r>
          </w:p>
          <w:p w:rsidR="0099333E" w:rsidRDefault="0099333E" w:rsidP="0099333E">
            <w:pPr>
              <w:jc w:val="both"/>
              <w:rPr>
                <w:rFonts w:ascii="Cambria" w:hAnsi="Cambria"/>
              </w:rPr>
            </w:pPr>
            <w:hyperlink r:id="rId73" w:history="1">
              <w:r>
                <w:rPr>
                  <w:rStyle w:val="Hyperlink"/>
                  <w:rFonts w:ascii="Cambria" w:hAnsi="Cambria"/>
                </w:rPr>
                <w:t>https://www.businessdailyafrica.com/bd/corporate/companies/cic-insurance-loss-of-sh297m-after-13-year-run-3336584</w:t>
              </w:r>
            </w:hyperlink>
          </w:p>
          <w:p w:rsidR="0099333E" w:rsidRDefault="0099333E" w:rsidP="0099333E">
            <w:pPr>
              <w:jc w:val="both"/>
              <w:rPr>
                <w:rFonts w:ascii="Cambria" w:hAnsi="Cambria"/>
              </w:rPr>
            </w:pPr>
          </w:p>
          <w:p w:rsidR="0099333E" w:rsidRDefault="0099333E" w:rsidP="0099333E">
            <w:pPr>
              <w:jc w:val="both"/>
              <w:rPr>
                <w:rFonts w:ascii="Cambria" w:hAnsi="Cambria"/>
              </w:rPr>
            </w:pPr>
            <w:r>
              <w:rPr>
                <w:rFonts w:ascii="Cambria" w:hAnsi="Cambria"/>
                <w:b/>
                <w:bCs/>
                <w:i/>
                <w:iCs/>
              </w:rPr>
              <w:t>The Star Online:</w:t>
            </w:r>
            <w:r>
              <w:rPr>
                <w:rFonts w:ascii="Cambria" w:hAnsi="Cambria"/>
                <w:b/>
                <w:bCs/>
              </w:rPr>
              <w:t xml:space="preserve"> Sanlam sinks into Sh78 million after-tax loss</w:t>
            </w:r>
            <w:r>
              <w:rPr>
                <w:rFonts w:ascii="Cambria" w:hAnsi="Cambria"/>
              </w:rPr>
              <w:t>: Sanlam Kenya has reported a Sh78 million after-tax loss for the year 2020, blamed on increased claims and lower investment returns in the wake of the Covid-19 pandemic. This is from a Sh114 million net profit the previous year. The Nairobi Securities Exchange (NSE) listed insurance and investment firm's pre-tax profit shrunk 92 per cent to Sh43 million from the Sh550 million posted in 2019.</w:t>
            </w:r>
          </w:p>
          <w:p w:rsidR="0099333E" w:rsidRDefault="0099333E" w:rsidP="0099333E">
            <w:pPr>
              <w:jc w:val="both"/>
              <w:rPr>
                <w:rFonts w:ascii="Cambria" w:hAnsi="Cambria"/>
              </w:rPr>
            </w:pPr>
            <w:hyperlink r:id="rId74" w:history="1">
              <w:r>
                <w:rPr>
                  <w:rStyle w:val="Hyperlink"/>
                  <w:rFonts w:ascii="Cambria" w:hAnsi="Cambria"/>
                </w:rPr>
                <w:t>https://www.the-star.co.ke/business/kenya/2021-03-25-sanlam-sinks-into-sh78-million-after-tax-loss/</w:t>
              </w:r>
            </w:hyperlink>
          </w:p>
          <w:p w:rsidR="0099333E" w:rsidRDefault="0099333E" w:rsidP="0099333E">
            <w:pPr>
              <w:jc w:val="both"/>
              <w:rPr>
                <w:rFonts w:ascii="Cambria" w:hAnsi="Cambria"/>
              </w:rPr>
            </w:pPr>
          </w:p>
          <w:p w:rsidR="0099333E" w:rsidRDefault="0099333E" w:rsidP="0099333E">
            <w:pPr>
              <w:jc w:val="both"/>
              <w:rPr>
                <w:rFonts w:ascii="Cambria" w:hAnsi="Cambria"/>
              </w:rPr>
            </w:pPr>
            <w:r>
              <w:rPr>
                <w:rFonts w:ascii="Cambria" w:hAnsi="Cambria"/>
                <w:b/>
                <w:bCs/>
                <w:i/>
                <w:iCs/>
              </w:rPr>
              <w:t>Capital Digital:</w:t>
            </w:r>
            <w:r>
              <w:rPr>
                <w:rFonts w:ascii="Cambria" w:hAnsi="Cambria"/>
                <w:b/>
                <w:bCs/>
              </w:rPr>
              <w:t xml:space="preserve"> Sanlam Kenya’s 2020 Pretax Profit Drops By 92pc To Sh43mn On Pandemic Fallout: </w:t>
            </w:r>
            <w:r>
              <w:rPr>
                <w:rFonts w:ascii="Cambria" w:hAnsi="Cambria"/>
              </w:rPr>
              <w:t>Sanlam Kenya PLC has posted a Sh43 million pretax profit in its just-released full-year 2020 trading results, a 92 percent decline against the Sh550 million in 2019 primarily attributed to the Covid-19 pandemic impact on the local and international economies. The firm’s Group Chairman Dr. John Simba said the effects of the Covid-19 pandemic on the local economy and foreign exchange rates adversely impacted the Group’s net assets valuation. During the financial year, Sanlam’s overall gross premium income increased by 24.4 percent to Sh8.69 billion up from Sh6.99 billion posted the previous year due to growth in both the long and short-term insurance businesses. The firm’s total income accelerated to Sh9.42 billion up from Sh8.89 billion recorded in 2019, representing a 6 percent growth.</w:t>
            </w:r>
          </w:p>
          <w:p w:rsidR="0099333E" w:rsidRDefault="0099333E" w:rsidP="0099333E">
            <w:pPr>
              <w:jc w:val="both"/>
              <w:rPr>
                <w:rFonts w:ascii="Cambria" w:hAnsi="Cambria"/>
              </w:rPr>
            </w:pPr>
            <w:hyperlink r:id="rId75" w:history="1">
              <w:r>
                <w:rPr>
                  <w:rStyle w:val="Hyperlink"/>
                  <w:rFonts w:ascii="Cambria" w:hAnsi="Cambria"/>
                </w:rPr>
                <w:t>https://www.capitalfm.co.ke/business/2021/03/sanlam-kenyas-2020-pretax-profit-drops-by-92pc-to-sh43mn-on-pandemic-fallout/</w:t>
              </w:r>
            </w:hyperlink>
          </w:p>
          <w:p w:rsidR="0099333E" w:rsidRDefault="0099333E" w:rsidP="0099333E">
            <w:pPr>
              <w:jc w:val="both"/>
              <w:rPr>
                <w:rFonts w:ascii="Cambria" w:hAnsi="Cambria"/>
              </w:rPr>
            </w:pPr>
          </w:p>
          <w:p w:rsidR="0099333E" w:rsidRDefault="0099333E" w:rsidP="0099333E">
            <w:pPr>
              <w:jc w:val="both"/>
              <w:rPr>
                <w:rFonts w:ascii="Cambria" w:hAnsi="Cambria"/>
              </w:rPr>
            </w:pPr>
            <w:r>
              <w:rPr>
                <w:rFonts w:ascii="Cambria" w:hAnsi="Cambria"/>
                <w:b/>
                <w:bCs/>
                <w:i/>
                <w:iCs/>
              </w:rPr>
              <w:lastRenderedPageBreak/>
              <w:t>KBC Digital:</w:t>
            </w:r>
            <w:r>
              <w:rPr>
                <w:rFonts w:ascii="Cambria" w:hAnsi="Cambria"/>
                <w:b/>
                <w:bCs/>
              </w:rPr>
              <w:t xml:space="preserve"> Sanlam Kenya’s pretax profit drops 92pc to </w:t>
            </w:r>
            <w:proofErr w:type="spellStart"/>
            <w:r>
              <w:rPr>
                <w:rFonts w:ascii="Cambria" w:hAnsi="Cambria"/>
                <w:b/>
                <w:bCs/>
              </w:rPr>
              <w:t>Kshs</w:t>
            </w:r>
            <w:proofErr w:type="spellEnd"/>
            <w:r>
              <w:rPr>
                <w:rFonts w:ascii="Cambria" w:hAnsi="Cambria"/>
                <w:b/>
                <w:bCs/>
              </w:rPr>
              <w:t>. 43M</w:t>
            </w:r>
            <w:r>
              <w:rPr>
                <w:rFonts w:ascii="Cambria" w:hAnsi="Cambria"/>
              </w:rPr>
              <w:t xml:space="preserve">: The Nairobi Securities Exchange (NSE) listed firm, Sanlam Kenya PLC, a leading non-bank financial services firm in Kenya has posted a </w:t>
            </w:r>
            <w:proofErr w:type="spellStart"/>
            <w:r>
              <w:rPr>
                <w:rFonts w:ascii="Cambria" w:hAnsi="Cambria"/>
              </w:rPr>
              <w:t>Kshs</w:t>
            </w:r>
            <w:proofErr w:type="spellEnd"/>
            <w:r>
              <w:rPr>
                <w:rFonts w:ascii="Cambria" w:hAnsi="Cambria"/>
              </w:rPr>
              <w:t xml:space="preserve"> 43 million pretax profit in its just-released full-year 2020 trading results, a 92% decline against the </w:t>
            </w:r>
            <w:proofErr w:type="spellStart"/>
            <w:r>
              <w:rPr>
                <w:rFonts w:ascii="Cambria" w:hAnsi="Cambria"/>
              </w:rPr>
              <w:t>Kshs</w:t>
            </w:r>
            <w:proofErr w:type="spellEnd"/>
            <w:r>
              <w:rPr>
                <w:rFonts w:ascii="Cambria" w:hAnsi="Cambria"/>
              </w:rPr>
              <w:t xml:space="preserve"> 550 million in2019 primarily attributed to the Covid-19 pandemic impact on the local and international economies. Speaking when the firm’s approved and released the results, Sanlam Kenya Plc Group Chairman Dr. John Simba said the effects of the Covid-19 pandemic on the local economy and foreign exchange rates adversely impacted the Group’s net assets valuation. In response to the challenging operating environment, the Group CEO, </w:t>
            </w:r>
            <w:proofErr w:type="spellStart"/>
            <w:r>
              <w:rPr>
                <w:rFonts w:ascii="Cambria" w:hAnsi="Cambria"/>
              </w:rPr>
              <w:t>Dr</w:t>
            </w:r>
            <w:proofErr w:type="spellEnd"/>
            <w:r>
              <w:rPr>
                <w:rFonts w:ascii="Cambria" w:hAnsi="Cambria"/>
              </w:rPr>
              <w:t xml:space="preserve"> </w:t>
            </w:r>
            <w:proofErr w:type="spellStart"/>
            <w:r>
              <w:rPr>
                <w:rFonts w:ascii="Cambria" w:hAnsi="Cambria"/>
              </w:rPr>
              <w:t>Tumbo</w:t>
            </w:r>
            <w:proofErr w:type="spellEnd"/>
            <w:r>
              <w:rPr>
                <w:rFonts w:ascii="Cambria" w:hAnsi="Cambria"/>
              </w:rPr>
              <w:t xml:space="preserve"> said, management focused on securing the employees’ health and jobs, cost saving, new product development, innovation and delivery of sales and services online.</w:t>
            </w:r>
          </w:p>
          <w:p w:rsidR="0099333E" w:rsidRDefault="0099333E" w:rsidP="0099333E">
            <w:pPr>
              <w:jc w:val="both"/>
              <w:rPr>
                <w:rFonts w:ascii="Cambria" w:hAnsi="Cambria"/>
              </w:rPr>
            </w:pPr>
            <w:hyperlink r:id="rId76" w:history="1">
              <w:r>
                <w:rPr>
                  <w:rStyle w:val="Hyperlink"/>
                  <w:rFonts w:ascii="Cambria" w:hAnsi="Cambria"/>
                </w:rPr>
                <w:t>https://www.kbc.co.ke/sanlam-kenyas-pretax-profit-drops-92pc-to-kshs-43m/</w:t>
              </w:r>
            </w:hyperlink>
          </w:p>
          <w:p w:rsidR="0099333E" w:rsidRDefault="0099333E" w:rsidP="0099333E">
            <w:pPr>
              <w:jc w:val="both"/>
              <w:rPr>
                <w:rFonts w:ascii="Cambria" w:hAnsi="Cambria"/>
              </w:rPr>
            </w:pPr>
          </w:p>
          <w:p w:rsidR="0099333E" w:rsidRDefault="0099333E" w:rsidP="0099333E">
            <w:pPr>
              <w:jc w:val="both"/>
              <w:rPr>
                <w:rFonts w:ascii="Cambria" w:hAnsi="Cambria"/>
              </w:rPr>
            </w:pPr>
            <w:r>
              <w:rPr>
                <w:rFonts w:ascii="Cambria" w:hAnsi="Cambria"/>
                <w:b/>
                <w:bCs/>
                <w:i/>
                <w:iCs/>
              </w:rPr>
              <w:t>Citizen Digital:</w:t>
            </w:r>
            <w:r>
              <w:rPr>
                <w:rFonts w:ascii="Cambria" w:hAnsi="Cambria"/>
                <w:b/>
                <w:bCs/>
              </w:rPr>
              <w:t xml:space="preserve"> Anjali </w:t>
            </w:r>
            <w:proofErr w:type="spellStart"/>
            <w:r>
              <w:rPr>
                <w:rFonts w:ascii="Cambria" w:hAnsi="Cambria"/>
                <w:b/>
                <w:bCs/>
              </w:rPr>
              <w:t>Harkoo</w:t>
            </w:r>
            <w:proofErr w:type="spellEnd"/>
            <w:r>
              <w:rPr>
                <w:rFonts w:ascii="Cambria" w:hAnsi="Cambria"/>
                <w:b/>
                <w:bCs/>
              </w:rPr>
              <w:t xml:space="preserve">, from working at her grandfather’s shop to landing a top role at </w:t>
            </w:r>
            <w:proofErr w:type="spellStart"/>
            <w:r>
              <w:rPr>
                <w:rFonts w:ascii="Cambria" w:hAnsi="Cambria"/>
                <w:b/>
                <w:bCs/>
              </w:rPr>
              <w:t>Stanbic</w:t>
            </w:r>
            <w:proofErr w:type="spellEnd"/>
            <w:r>
              <w:rPr>
                <w:rFonts w:ascii="Cambria" w:hAnsi="Cambria"/>
                <w:b/>
                <w:bCs/>
              </w:rPr>
              <w:t xml:space="preserve"> Bank Kenya</w:t>
            </w:r>
            <w:r>
              <w:rPr>
                <w:rFonts w:ascii="Cambria" w:hAnsi="Cambria"/>
              </w:rPr>
              <w:t xml:space="preserve">: Anjali </w:t>
            </w:r>
            <w:proofErr w:type="spellStart"/>
            <w:r>
              <w:rPr>
                <w:rFonts w:ascii="Cambria" w:hAnsi="Cambria"/>
              </w:rPr>
              <w:t>Harkoo</w:t>
            </w:r>
            <w:proofErr w:type="spellEnd"/>
            <w:r>
              <w:rPr>
                <w:rFonts w:ascii="Cambria" w:hAnsi="Cambria"/>
              </w:rPr>
              <w:t xml:space="preserve"> is the Head, Wealth at </w:t>
            </w:r>
            <w:proofErr w:type="spellStart"/>
            <w:r>
              <w:rPr>
                <w:rFonts w:ascii="Cambria" w:hAnsi="Cambria"/>
              </w:rPr>
              <w:t>Stanbic</w:t>
            </w:r>
            <w:proofErr w:type="spellEnd"/>
            <w:r>
              <w:rPr>
                <w:rFonts w:ascii="Cambria" w:hAnsi="Cambria"/>
              </w:rPr>
              <w:t xml:space="preserve"> Bank Kenya. She also manages Liberty Life and Heritage Insurance relationships including Joint Venture agreement obligations. Anjali started off as Head, Wealth and Investment Kenya and within the first three years of operation in Kenya, she had recorded tremendous growth in the Wealth and Investment business. The business was awarded as the Best Private Bank in Kenya at the 2015 and 2016 Global Private Banking awards.</w:t>
            </w:r>
          </w:p>
          <w:p w:rsidR="0099333E" w:rsidRDefault="0099333E" w:rsidP="0099333E">
            <w:pPr>
              <w:jc w:val="both"/>
              <w:rPr>
                <w:rFonts w:ascii="Cambria" w:hAnsi="Cambria"/>
              </w:rPr>
            </w:pPr>
            <w:hyperlink r:id="rId77" w:history="1">
              <w:r>
                <w:rPr>
                  <w:rStyle w:val="Hyperlink"/>
                  <w:rFonts w:ascii="Cambria" w:hAnsi="Cambria"/>
                </w:rPr>
                <w:t>https://citizentv.co.ke/lifestyle/profile-anjali-harkoo-from-working-at-her-</w:t>
              </w:r>
            </w:hyperlink>
          </w:p>
          <w:p w:rsidR="0099333E" w:rsidRDefault="0099333E" w:rsidP="0099333E">
            <w:pPr>
              <w:jc w:val="both"/>
              <w:rPr>
                <w:rFonts w:ascii="Cambria" w:hAnsi="Cambria"/>
              </w:rPr>
            </w:pPr>
          </w:p>
        </w:tc>
      </w:tr>
    </w:tbl>
    <w:p w:rsidR="007A3D04" w:rsidRDefault="007A3D04"/>
    <w:sectPr w:rsidR="007A3D04" w:rsidSect="0099333E">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333E"/>
    <w:rsid w:val="007A3D04"/>
    <w:rsid w:val="009933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DD35C01-D203-49F1-9825-580ABB088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333E"/>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9333E"/>
    <w:rPr>
      <w:color w:val="0563C1"/>
      <w:u w:val="single"/>
    </w:rPr>
  </w:style>
  <w:style w:type="paragraph" w:styleId="NoSpacing">
    <w:name w:val="No Spacing"/>
    <w:basedOn w:val="Normal"/>
    <w:uiPriority w:val="1"/>
    <w:qFormat/>
    <w:rsid w:val="009933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8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endspace.com/pro/u1tnjq" TargetMode="External"/><Relationship Id="rId18" Type="http://schemas.openxmlformats.org/officeDocument/2006/relationships/hyperlink" Target="https://www.sendspace.com/pro/mhqych" TargetMode="External"/><Relationship Id="rId26" Type="http://schemas.openxmlformats.org/officeDocument/2006/relationships/hyperlink" Target="https://www.sendspace.com/pro/7zw1e2" TargetMode="External"/><Relationship Id="rId39" Type="http://schemas.openxmlformats.org/officeDocument/2006/relationships/image" Target="media/image9.jpeg"/><Relationship Id="rId21" Type="http://schemas.openxmlformats.org/officeDocument/2006/relationships/hyperlink" Target="https://www.sendspace.com/file/wdrwic" TargetMode="External"/><Relationship Id="rId34" Type="http://schemas.openxmlformats.org/officeDocument/2006/relationships/hyperlink" Target="https://www.sendspace.com/pro/k62evo" TargetMode="External"/><Relationship Id="rId42" Type="http://schemas.openxmlformats.org/officeDocument/2006/relationships/hyperlink" Target="https://www.sendspace.com/pro/sc5v6p" TargetMode="External"/><Relationship Id="rId47" Type="http://schemas.openxmlformats.org/officeDocument/2006/relationships/hyperlink" Target="https://www.sendspace.com/pro/jmzgnq" TargetMode="External"/><Relationship Id="rId50" Type="http://schemas.openxmlformats.org/officeDocument/2006/relationships/hyperlink" Target="https://www.sendspace.com/pro/mslbgi" TargetMode="External"/><Relationship Id="rId55" Type="http://schemas.openxmlformats.org/officeDocument/2006/relationships/hyperlink" Target="https://www.sendspace.com/pro/tk7ba6" TargetMode="External"/><Relationship Id="rId63" Type="http://schemas.openxmlformats.org/officeDocument/2006/relationships/hyperlink" Target="https://www.sendspace.com/pro/y7t4hq" TargetMode="External"/><Relationship Id="rId68" Type="http://schemas.openxmlformats.org/officeDocument/2006/relationships/image" Target="media/image12.jpeg"/><Relationship Id="rId76" Type="http://schemas.openxmlformats.org/officeDocument/2006/relationships/hyperlink" Target="https://www.kbc.co.ke/sanlam-kenyas-pretax-profit-drops-92pc-to-kshs-43m/" TargetMode="External"/><Relationship Id="rId7" Type="http://schemas.openxmlformats.org/officeDocument/2006/relationships/hyperlink" Target="https://www.sendspace.com/pro/0tvzzl" TargetMode="External"/><Relationship Id="rId71" Type="http://schemas.openxmlformats.org/officeDocument/2006/relationships/hyperlink" Target="https://www.sendspace.com/file/mjn11g" TargetMode="External"/><Relationship Id="rId2" Type="http://schemas.openxmlformats.org/officeDocument/2006/relationships/settings" Target="settings.xml"/><Relationship Id="rId16" Type="http://schemas.openxmlformats.org/officeDocument/2006/relationships/hyperlink" Target="https://www.sendspace.com/pro/xdbqv3" TargetMode="External"/><Relationship Id="rId29" Type="http://schemas.openxmlformats.org/officeDocument/2006/relationships/hyperlink" Target="https://www.sendspace.com/pro/pz5fd5" TargetMode="External"/><Relationship Id="rId11" Type="http://schemas.openxmlformats.org/officeDocument/2006/relationships/hyperlink" Target="https://www.sendspace.com/pro/thkfpw" TargetMode="External"/><Relationship Id="rId24" Type="http://schemas.openxmlformats.org/officeDocument/2006/relationships/hyperlink" Target="https://www.sendspace.com/file/znn11k" TargetMode="External"/><Relationship Id="rId32" Type="http://schemas.openxmlformats.org/officeDocument/2006/relationships/hyperlink" Target="https://www.sendspace.com/pro/dl/xyz915" TargetMode="External"/><Relationship Id="rId37" Type="http://schemas.openxmlformats.org/officeDocument/2006/relationships/hyperlink" Target="https://www.sendspace.com/pro/czasag" TargetMode="External"/><Relationship Id="rId40" Type="http://schemas.openxmlformats.org/officeDocument/2006/relationships/image" Target="cid:image014.jpg@01D72485.323C9380" TargetMode="External"/><Relationship Id="rId45" Type="http://schemas.openxmlformats.org/officeDocument/2006/relationships/hyperlink" Target="https://www.sendspace.com/pro/55p63p" TargetMode="External"/><Relationship Id="rId53" Type="http://schemas.openxmlformats.org/officeDocument/2006/relationships/image" Target="cid:image015.jpg@01D72485.323C9380" TargetMode="External"/><Relationship Id="rId58" Type="http://schemas.openxmlformats.org/officeDocument/2006/relationships/image" Target="media/image11.jpeg"/><Relationship Id="rId66" Type="http://schemas.openxmlformats.org/officeDocument/2006/relationships/hyperlink" Target="https://www.sendspace.com/pro/gx41ht" TargetMode="External"/><Relationship Id="rId74" Type="http://schemas.openxmlformats.org/officeDocument/2006/relationships/hyperlink" Target="https://www.the-star.co.ke/business/kenya/2021-03-25-sanlam-sinks-into-sh78-million-after-tax-loss/" TargetMode="External"/><Relationship Id="rId79" Type="http://schemas.openxmlformats.org/officeDocument/2006/relationships/theme" Target="theme/theme1.xml"/><Relationship Id="rId5" Type="http://schemas.openxmlformats.org/officeDocument/2006/relationships/image" Target="media/image2.emf"/><Relationship Id="rId61" Type="http://schemas.openxmlformats.org/officeDocument/2006/relationships/hyperlink" Target="https://www.sendspace.com/pro/juzv96" TargetMode="External"/><Relationship Id="rId10" Type="http://schemas.openxmlformats.org/officeDocument/2006/relationships/image" Target="media/image5.png"/><Relationship Id="rId19" Type="http://schemas.openxmlformats.org/officeDocument/2006/relationships/hyperlink" Target="https://www.sendspace.com/pro/x1ospx" TargetMode="External"/><Relationship Id="rId31" Type="http://schemas.openxmlformats.org/officeDocument/2006/relationships/hyperlink" Target="https://www.sendspace.com/pro/b2ksw0" TargetMode="External"/><Relationship Id="rId44" Type="http://schemas.openxmlformats.org/officeDocument/2006/relationships/hyperlink" Target="https://www.sendspace.com/pro/ze96cs" TargetMode="External"/><Relationship Id="rId52" Type="http://schemas.openxmlformats.org/officeDocument/2006/relationships/image" Target="media/image10.jpeg"/><Relationship Id="rId60" Type="http://schemas.openxmlformats.org/officeDocument/2006/relationships/hyperlink" Target="https://www.sendspace.com/pro/layxss" TargetMode="External"/><Relationship Id="rId65" Type="http://schemas.openxmlformats.org/officeDocument/2006/relationships/hyperlink" Target="https://www.sendspace.com/pro/v42ag1" TargetMode="External"/><Relationship Id="rId73" Type="http://schemas.openxmlformats.org/officeDocument/2006/relationships/hyperlink" Target="https://www.businessdailyafrica.com/bd/corporate/companies/cic-insurance-loss-of-sh297m-after-13-year-run-3336584" TargetMode="External"/><Relationship Id="rId78"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hyperlink" Target="https://www.sendspace.com/pro/fv0s2r" TargetMode="External"/><Relationship Id="rId14" Type="http://schemas.openxmlformats.org/officeDocument/2006/relationships/image" Target="media/image7.jpeg"/><Relationship Id="rId22" Type="http://schemas.openxmlformats.org/officeDocument/2006/relationships/hyperlink" Target="https://www.sendspace.com/pro/228o01" TargetMode="External"/><Relationship Id="rId27" Type="http://schemas.openxmlformats.org/officeDocument/2006/relationships/image" Target="media/image8.jpeg"/><Relationship Id="rId30" Type="http://schemas.openxmlformats.org/officeDocument/2006/relationships/hyperlink" Target="https://www.sendspace.com/pro/ze96cs" TargetMode="External"/><Relationship Id="rId35" Type="http://schemas.openxmlformats.org/officeDocument/2006/relationships/hyperlink" Target="https://www.sendspace.com/pro/cf21i8" TargetMode="External"/><Relationship Id="rId43" Type="http://schemas.openxmlformats.org/officeDocument/2006/relationships/hyperlink" Target="https://www.sendspace.com/pro/keyfzv" TargetMode="External"/><Relationship Id="rId48" Type="http://schemas.openxmlformats.org/officeDocument/2006/relationships/hyperlink" Target="https://www.sendspace.com/pro/n8eap4" TargetMode="External"/><Relationship Id="rId56" Type="http://schemas.openxmlformats.org/officeDocument/2006/relationships/hyperlink" Target="https://www.sendspace.com/pro/0n3rga" TargetMode="External"/><Relationship Id="rId64" Type="http://schemas.openxmlformats.org/officeDocument/2006/relationships/hyperlink" Target="https://www.sendspace.com/pro/ks8tu4" TargetMode="External"/><Relationship Id="rId69" Type="http://schemas.openxmlformats.org/officeDocument/2006/relationships/image" Target="cid:image017.jpg@01D72485.323C9380" TargetMode="External"/><Relationship Id="rId77" Type="http://schemas.openxmlformats.org/officeDocument/2006/relationships/hyperlink" Target="https://citizentv.co.ke/lifestyle/profile-anjali-harkoo-from-working-at-her-" TargetMode="External"/><Relationship Id="rId8" Type="http://schemas.openxmlformats.org/officeDocument/2006/relationships/image" Target="media/image4.png"/><Relationship Id="rId51" Type="http://schemas.openxmlformats.org/officeDocument/2006/relationships/hyperlink" Target="https://www.sendspace.com/pro/aqxx8l" TargetMode="External"/><Relationship Id="rId72" Type="http://schemas.openxmlformats.org/officeDocument/2006/relationships/hyperlink" Target="https://kenyanwallstreet.com/cic-insurance-posts-ksh297-million-loss-in-2020/" TargetMode="External"/><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hyperlink" Target="https://www.sendspace.com/pro/45omme" TargetMode="External"/><Relationship Id="rId25" Type="http://schemas.openxmlformats.org/officeDocument/2006/relationships/hyperlink" Target="https://www.sendspace.com/pro/d7ziyb" TargetMode="External"/><Relationship Id="rId33" Type="http://schemas.openxmlformats.org/officeDocument/2006/relationships/hyperlink" Target="https://www.sendspace.com/pro/nsd0hr" TargetMode="External"/><Relationship Id="rId38" Type="http://schemas.openxmlformats.org/officeDocument/2006/relationships/hyperlink" Target="https://www.sendspace.com/pro/012l38" TargetMode="External"/><Relationship Id="rId46" Type="http://schemas.openxmlformats.org/officeDocument/2006/relationships/hyperlink" Target="https://www.sendspace.com/pro/lh24pf" TargetMode="External"/><Relationship Id="rId59" Type="http://schemas.openxmlformats.org/officeDocument/2006/relationships/image" Target="cid:image016.jpg@01D72485.323C9380" TargetMode="External"/><Relationship Id="rId67" Type="http://schemas.openxmlformats.org/officeDocument/2006/relationships/hyperlink" Target="https://www.sendspace.com/file/039tg6" TargetMode="External"/><Relationship Id="rId20" Type="http://schemas.openxmlformats.org/officeDocument/2006/relationships/hyperlink" Target="https://www.sendspace.com/file/8of0kl" TargetMode="External"/><Relationship Id="rId41" Type="http://schemas.openxmlformats.org/officeDocument/2006/relationships/hyperlink" Target="https://www.sendspace.com/pro/4rc3a3" TargetMode="External"/><Relationship Id="rId54" Type="http://schemas.openxmlformats.org/officeDocument/2006/relationships/hyperlink" Target="https://www.sendspace.com/file/4f1ir3" TargetMode="External"/><Relationship Id="rId62" Type="http://schemas.openxmlformats.org/officeDocument/2006/relationships/hyperlink" Target="https://www.sendspace.com/pro/53p0t9" TargetMode="External"/><Relationship Id="rId70" Type="http://schemas.openxmlformats.org/officeDocument/2006/relationships/hyperlink" Target="https://www.sendspace.com/pro/650kme" TargetMode="External"/><Relationship Id="rId75" Type="http://schemas.openxmlformats.org/officeDocument/2006/relationships/hyperlink" Target="https://www.capitalfm.co.ke/business/2021/03/sanlam-kenyas-2020-pretax-profit-drops-by-92pc-to-sh43mn-on-pandemic-fallout/" TargetMode="External"/><Relationship Id="rId1" Type="http://schemas.openxmlformats.org/officeDocument/2006/relationships/styles" Target="styles.xml"/><Relationship Id="rId6" Type="http://schemas.openxmlformats.org/officeDocument/2006/relationships/image" Target="media/image3.png"/><Relationship Id="rId15" Type="http://schemas.openxmlformats.org/officeDocument/2006/relationships/hyperlink" Target="https://www.sendspace.com/pro/0a6tzg" TargetMode="External"/><Relationship Id="rId23" Type="http://schemas.openxmlformats.org/officeDocument/2006/relationships/hyperlink" Target="https://www.sendspace.com/file/cdwhn3" TargetMode="External"/><Relationship Id="rId28" Type="http://schemas.openxmlformats.org/officeDocument/2006/relationships/image" Target="cid:image013.jpg@01D72485.323C9380" TargetMode="External"/><Relationship Id="rId36" Type="http://schemas.openxmlformats.org/officeDocument/2006/relationships/hyperlink" Target="https://www.sendspace.com/file/bj7eqa" TargetMode="External"/><Relationship Id="rId49" Type="http://schemas.openxmlformats.org/officeDocument/2006/relationships/hyperlink" Target="https://www.sendspace.com/pro/c9eqd9" TargetMode="External"/><Relationship Id="rId57" Type="http://schemas.openxmlformats.org/officeDocument/2006/relationships/hyperlink" Target="https://www.sendspace.com/pro/xhqzq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4457</Words>
  <Characters>25405</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29803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Hazel K. King'ori</dc:creator>
  <cp:keywords/>
  <dc:description/>
  <cp:lastModifiedBy>Hazel K. King'ori</cp:lastModifiedBy>
  <cp:revision>1</cp:revision>
  <dcterms:created xsi:type="dcterms:W3CDTF">2021-04-07T09:23:00Z</dcterms:created>
  <dcterms:modified xsi:type="dcterms:W3CDTF">2021-04-07T09:23:00Z</dcterms:modified>
</cp:coreProperties>
</file>