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57" w:rsidRDefault="00606657" w:rsidP="00606657">
      <w:bookmarkStart w:id="0" w:name="_MailOriginal"/>
    </w:p>
    <w:tbl>
      <w:tblPr>
        <w:tblW w:w="14956" w:type="dxa"/>
        <w:tblInd w:w="-1008" w:type="dxa"/>
        <w:tblCellMar>
          <w:left w:w="0" w:type="dxa"/>
          <w:right w:w="0" w:type="dxa"/>
        </w:tblCellMar>
        <w:tblLook w:val="04A0" w:firstRow="1" w:lastRow="0" w:firstColumn="1" w:lastColumn="0" w:noHBand="0" w:noVBand="1"/>
      </w:tblPr>
      <w:tblGrid>
        <w:gridCol w:w="14956"/>
      </w:tblGrid>
      <w:tr w:rsidR="00606657" w:rsidTr="00606657">
        <w:trPr>
          <w:trHeight w:val="1502"/>
        </w:trPr>
        <w:tc>
          <w:tcPr>
            <w:tcW w:w="14956" w:type="dxa"/>
            <w:tcBorders>
              <w:top w:val="single" w:sz="8" w:space="0" w:color="auto"/>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606657" w:rsidRDefault="00606657">
            <w:pPr>
              <w:rPr>
                <w:rFonts w:ascii="Berlin Sans FB" w:hAnsi="Berlin Sans FB"/>
                <w:sz w:val="44"/>
                <w:szCs w:val="44"/>
              </w:rPr>
            </w:pPr>
            <w:r>
              <w:rPr>
                <w:noProof/>
              </w:rPr>
              <w:drawing>
                <wp:anchor distT="0" distB="0" distL="114300" distR="114300" simplePos="0" relativeHeight="251659264" behindDoc="0" locked="0" layoutInCell="1" allowOverlap="1">
                  <wp:simplePos x="0" y="0"/>
                  <wp:positionH relativeFrom="column">
                    <wp:posOffset>-71755</wp:posOffset>
                  </wp:positionH>
                  <wp:positionV relativeFrom="paragraph">
                    <wp:posOffset>3175</wp:posOffset>
                  </wp:positionV>
                  <wp:extent cx="666750" cy="962025"/>
                  <wp:effectExtent l="0" t="0" r="0" b="9525"/>
                  <wp:wrapNone/>
                  <wp:docPr id="47" name="Picture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96202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color w:val="000000"/>
                <w:sz w:val="44"/>
                <w:szCs w:val="44"/>
              </w:rPr>
              <w:t xml:space="preserve">                </w:t>
            </w:r>
          </w:p>
          <w:p w:rsidR="00606657" w:rsidRDefault="00606657">
            <w:pPr>
              <w:jc w:val="center"/>
              <w:rPr>
                <w:rFonts w:ascii="Berlin Sans FB" w:hAnsi="Berlin Sans FB"/>
                <w:sz w:val="90"/>
                <w:szCs w:val="90"/>
              </w:rPr>
            </w:pPr>
            <w:r>
              <w:rPr>
                <w:noProof/>
              </w:rPr>
              <w:drawing>
                <wp:anchor distT="0" distB="0" distL="114300" distR="114300" simplePos="0" relativeHeight="251660288" behindDoc="0" locked="0" layoutInCell="1" allowOverlap="1">
                  <wp:simplePos x="0" y="0"/>
                  <wp:positionH relativeFrom="column">
                    <wp:posOffset>6405245</wp:posOffset>
                  </wp:positionH>
                  <wp:positionV relativeFrom="paragraph">
                    <wp:posOffset>532765</wp:posOffset>
                  </wp:positionV>
                  <wp:extent cx="1447800" cy="266700"/>
                  <wp:effectExtent l="0" t="0" r="0" b="0"/>
                  <wp:wrapNone/>
                  <wp:docPr id="46" name="Picture 46" descr="13th – 19th Feb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3th – 19th Feb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pic:spPr>
                      </pic:pic>
                    </a:graphicData>
                  </a:graphic>
                  <wp14:sizeRelH relativeFrom="margin">
                    <wp14:pctWidth>0</wp14:pctWidth>
                  </wp14:sizeRelH>
                  <wp14:sizeRelV relativeFrom="page">
                    <wp14:pctHeight>0</wp14:pctHeight>
                  </wp14:sizeRelV>
                </wp:anchor>
              </w:drawing>
            </w:r>
            <w:r>
              <w:rPr>
                <w:rFonts w:ascii="Berlin Sans FB" w:hAnsi="Berlin Sans FB"/>
                <w:color w:val="000000"/>
                <w:sz w:val="90"/>
                <w:szCs w:val="90"/>
              </w:rPr>
              <w:t>Weekly Media Watch</w:t>
            </w:r>
          </w:p>
          <w:p w:rsidR="00606657" w:rsidRDefault="00606657">
            <w:pPr>
              <w:jc w:val="center"/>
              <w:rPr>
                <w:rFonts w:ascii="Berlin Sans FB" w:hAnsi="Berlin Sans FB"/>
                <w:sz w:val="90"/>
                <w:szCs w:val="90"/>
              </w:rPr>
            </w:pPr>
            <w:r>
              <w:rPr>
                <w:rFonts w:ascii="Berlin Sans FB" w:hAnsi="Berlin Sans FB"/>
                <w:i/>
                <w:iCs/>
                <w:color w:val="000000"/>
                <w:sz w:val="26"/>
                <w:szCs w:val="26"/>
              </w:rPr>
              <w:t>A weekly round-up of news coverage</w:t>
            </w:r>
          </w:p>
        </w:tc>
      </w:tr>
    </w:tbl>
    <w:tbl>
      <w:tblPr>
        <w:tblpPr w:leftFromText="180" w:rightFromText="180" w:vertAnchor="text" w:horzAnchor="margin" w:tblpY="1"/>
        <w:tblW w:w="13879" w:type="dxa"/>
        <w:tblCellMar>
          <w:left w:w="0" w:type="dxa"/>
          <w:right w:w="0" w:type="dxa"/>
        </w:tblCellMar>
        <w:tblLook w:val="04A0" w:firstRow="1" w:lastRow="0" w:firstColumn="1" w:lastColumn="0" w:noHBand="0" w:noVBand="1"/>
      </w:tblPr>
      <w:tblGrid>
        <w:gridCol w:w="13879"/>
      </w:tblGrid>
      <w:tr w:rsidR="00606657" w:rsidTr="00606657">
        <w:tc>
          <w:tcPr>
            <w:tcW w:w="13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6657" w:rsidRDefault="00606657" w:rsidP="00606657">
            <w:pPr>
              <w:rPr>
                <w:b/>
                <w:bCs/>
                <w:sz w:val="20"/>
                <w:szCs w:val="20"/>
              </w:rPr>
            </w:pPr>
            <w:bookmarkStart w:id="1" w:name="_Hlk64635926"/>
            <w:bookmarkEnd w:id="1"/>
            <w:r>
              <w:rPr>
                <w:b/>
                <w:bCs/>
                <w:sz w:val="20"/>
                <w:szCs w:val="20"/>
              </w:rPr>
              <w:t>NTV: 15-02-2021 Time| 14:19:10</w:t>
            </w:r>
          </w:p>
          <w:p w:rsidR="00606657" w:rsidRDefault="00606657" w:rsidP="00606657">
            <w:pPr>
              <w:pStyle w:val="NoSpacing"/>
              <w:rPr>
                <w:sz w:val="20"/>
                <w:szCs w:val="20"/>
              </w:rPr>
            </w:pPr>
            <w:r>
              <w:rPr>
                <w:noProof/>
              </w:rPr>
              <w:drawing>
                <wp:inline distT="0" distB="0" distL="0" distR="0" wp14:anchorId="1F26C8B9" wp14:editId="2DEF1728">
                  <wp:extent cx="2562225" cy="1266825"/>
                  <wp:effectExtent l="0" t="0" r="9525" b="9525"/>
                  <wp:docPr id="45" name="Picture 45" descr="cid:image024.jpg@01D706E8.63852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id:image024.jpg@01D706E8.63852B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62225" cy="1266825"/>
                          </a:xfrm>
                          <a:prstGeom prst="rect">
                            <a:avLst/>
                          </a:prstGeom>
                          <a:noFill/>
                          <a:ln>
                            <a:noFill/>
                          </a:ln>
                        </pic:spPr>
                      </pic:pic>
                    </a:graphicData>
                  </a:graphic>
                </wp:inline>
              </w:drawing>
            </w:r>
          </w:p>
          <w:p w:rsidR="00606657" w:rsidRDefault="00606657" w:rsidP="00606657">
            <w:pPr>
              <w:pStyle w:val="NoSpacing"/>
              <w:rPr>
                <w:rStyle w:val="Hyperlink"/>
              </w:rPr>
            </w:pPr>
            <w:r>
              <w:rPr>
                <w:sz w:val="20"/>
                <w:szCs w:val="20"/>
              </w:rPr>
              <w:t xml:space="preserve">All you need to know about Insurance in Kenya: Victor </w:t>
            </w:r>
            <w:proofErr w:type="spellStart"/>
            <w:r>
              <w:rPr>
                <w:sz w:val="20"/>
                <w:szCs w:val="20"/>
              </w:rPr>
              <w:t>Kiprop</w:t>
            </w:r>
            <w:proofErr w:type="spellEnd"/>
            <w:r>
              <w:rPr>
                <w:sz w:val="20"/>
                <w:szCs w:val="20"/>
              </w:rPr>
              <w:t xml:space="preserve"> hosted various individuals to expound on the status and progress of insurance services in the country. The guests included, </w:t>
            </w:r>
            <w:proofErr w:type="spellStart"/>
            <w:r>
              <w:rPr>
                <w:sz w:val="20"/>
                <w:szCs w:val="20"/>
              </w:rPr>
              <w:t>Kalai</w:t>
            </w:r>
            <w:proofErr w:type="spellEnd"/>
            <w:r>
              <w:rPr>
                <w:sz w:val="20"/>
                <w:szCs w:val="20"/>
              </w:rPr>
              <w:t xml:space="preserve"> </w:t>
            </w:r>
            <w:proofErr w:type="spellStart"/>
            <w:r>
              <w:rPr>
                <w:sz w:val="20"/>
                <w:szCs w:val="20"/>
              </w:rPr>
              <w:t>Musee</w:t>
            </w:r>
            <w:proofErr w:type="spellEnd"/>
            <w:r>
              <w:rPr>
                <w:sz w:val="20"/>
                <w:szCs w:val="20"/>
              </w:rPr>
              <w:t xml:space="preserve"> Chief manager Technical department Insurance Regulatory Authority, Washington </w:t>
            </w:r>
            <w:proofErr w:type="spellStart"/>
            <w:r>
              <w:rPr>
                <w:sz w:val="20"/>
                <w:szCs w:val="20"/>
              </w:rPr>
              <w:t>Ndegea</w:t>
            </w:r>
            <w:proofErr w:type="spellEnd"/>
            <w:r>
              <w:rPr>
                <w:sz w:val="20"/>
                <w:szCs w:val="20"/>
              </w:rPr>
              <w:t xml:space="preserve"> </w:t>
            </w:r>
            <w:proofErr w:type="spellStart"/>
            <w:r>
              <w:rPr>
                <w:sz w:val="20"/>
                <w:szCs w:val="20"/>
              </w:rPr>
              <w:t>Bima</w:t>
            </w:r>
            <w:proofErr w:type="spellEnd"/>
            <w:r>
              <w:rPr>
                <w:sz w:val="20"/>
                <w:szCs w:val="20"/>
              </w:rPr>
              <w:t xml:space="preserve"> intermediaries and Christian </w:t>
            </w:r>
            <w:proofErr w:type="spellStart"/>
            <w:r>
              <w:rPr>
                <w:sz w:val="20"/>
                <w:szCs w:val="20"/>
              </w:rPr>
              <w:t>Gathiuni</w:t>
            </w:r>
            <w:proofErr w:type="spellEnd"/>
            <w:r>
              <w:rPr>
                <w:sz w:val="20"/>
                <w:szCs w:val="20"/>
              </w:rPr>
              <w:t xml:space="preserve">, a Financial consultant. </w:t>
            </w:r>
            <w:hyperlink r:id="rId8" w:history="1">
              <w:r>
                <w:rPr>
                  <w:rStyle w:val="Hyperlink"/>
                  <w:b/>
                  <w:bCs/>
                  <w:sz w:val="20"/>
                  <w:szCs w:val="20"/>
                </w:rPr>
                <w:t>Download Video</w:t>
              </w:r>
            </w:hyperlink>
          </w:p>
          <w:p w:rsidR="00606657" w:rsidRDefault="00606657" w:rsidP="00606657">
            <w:pPr>
              <w:rPr>
                <w:b/>
                <w:bCs/>
              </w:rPr>
            </w:pPr>
          </w:p>
          <w:p w:rsidR="00606657" w:rsidRDefault="00606657" w:rsidP="00606657">
            <w:pPr>
              <w:rPr>
                <w:b/>
                <w:bCs/>
                <w:sz w:val="20"/>
                <w:szCs w:val="20"/>
              </w:rPr>
            </w:pPr>
            <w:r>
              <w:rPr>
                <w:b/>
                <w:bCs/>
                <w:sz w:val="20"/>
                <w:szCs w:val="20"/>
              </w:rPr>
              <w:t>Capital FM: 02-02-2021 Time| 20:00</w:t>
            </w:r>
          </w:p>
          <w:p w:rsidR="00606657" w:rsidRDefault="00606657" w:rsidP="00606657">
            <w:pPr>
              <w:rPr>
                <w:sz w:val="20"/>
                <w:szCs w:val="20"/>
              </w:rPr>
            </w:pPr>
          </w:p>
          <w:p w:rsidR="00606657" w:rsidRDefault="00606657" w:rsidP="00606657">
            <w:pPr>
              <w:rPr>
                <w:sz w:val="20"/>
                <w:szCs w:val="20"/>
              </w:rPr>
            </w:pPr>
            <w:r>
              <w:rPr>
                <w:noProof/>
                <w:sz w:val="20"/>
                <w:szCs w:val="20"/>
              </w:rPr>
              <w:drawing>
                <wp:inline distT="0" distB="0" distL="0" distR="0" wp14:anchorId="48582AFA" wp14:editId="7975A3AA">
                  <wp:extent cx="1276350" cy="981075"/>
                  <wp:effectExtent l="0" t="0" r="0" b="0"/>
                  <wp:docPr id="44" name="Picture 44" descr="Image result for CAPITAL 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result for CAPITAL FM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rsidR="00606657" w:rsidRDefault="00606657" w:rsidP="00606657">
            <w:pPr>
              <w:jc w:val="both"/>
              <w:rPr>
                <w:sz w:val="20"/>
                <w:szCs w:val="20"/>
              </w:rPr>
            </w:pPr>
            <w:proofErr w:type="spellStart"/>
            <w:r>
              <w:rPr>
                <w:sz w:val="20"/>
                <w:szCs w:val="20"/>
              </w:rPr>
              <w:t>Nyeri</w:t>
            </w:r>
            <w:proofErr w:type="spellEnd"/>
            <w:r>
              <w:rPr>
                <w:sz w:val="20"/>
                <w:szCs w:val="20"/>
              </w:rPr>
              <w:t xml:space="preserve"> county is dedicating Mt Kenya Hospital to serve teachers and government workers. The government and teachers' insurance services provider Aon-</w:t>
            </w:r>
            <w:proofErr w:type="spellStart"/>
            <w:r>
              <w:rPr>
                <w:sz w:val="20"/>
                <w:szCs w:val="20"/>
              </w:rPr>
              <w:t>Minet</w:t>
            </w:r>
            <w:proofErr w:type="spellEnd"/>
            <w:r>
              <w:rPr>
                <w:sz w:val="20"/>
                <w:szCs w:val="20"/>
              </w:rPr>
              <w:t xml:space="preserve"> signed an MOU. Under it the hospital will ensure preferential services covered under the NHIF, Aon-</w:t>
            </w:r>
            <w:proofErr w:type="spellStart"/>
            <w:r>
              <w:rPr>
                <w:sz w:val="20"/>
                <w:szCs w:val="20"/>
              </w:rPr>
              <w:t>Minet</w:t>
            </w:r>
            <w:proofErr w:type="spellEnd"/>
            <w:r>
              <w:rPr>
                <w:sz w:val="20"/>
                <w:szCs w:val="20"/>
              </w:rPr>
              <w:t xml:space="preserve"> and other private providers </w:t>
            </w:r>
            <w:proofErr w:type="spellStart"/>
            <w:r>
              <w:rPr>
                <w:sz w:val="20"/>
                <w:szCs w:val="20"/>
              </w:rPr>
              <w:t>Nyeri</w:t>
            </w:r>
            <w:proofErr w:type="spellEnd"/>
            <w:r>
              <w:rPr>
                <w:sz w:val="20"/>
                <w:szCs w:val="20"/>
              </w:rPr>
              <w:t xml:space="preserve"> Governor </w:t>
            </w:r>
            <w:proofErr w:type="spellStart"/>
            <w:r>
              <w:rPr>
                <w:sz w:val="20"/>
                <w:szCs w:val="20"/>
              </w:rPr>
              <w:t>Mutahi</w:t>
            </w:r>
            <w:proofErr w:type="spellEnd"/>
            <w:r>
              <w:rPr>
                <w:sz w:val="20"/>
                <w:szCs w:val="20"/>
              </w:rPr>
              <w:t xml:space="preserve"> </w:t>
            </w:r>
            <w:proofErr w:type="spellStart"/>
            <w:r>
              <w:rPr>
                <w:sz w:val="20"/>
                <w:szCs w:val="20"/>
              </w:rPr>
              <w:t>Kahiga</w:t>
            </w:r>
            <w:proofErr w:type="spellEnd"/>
            <w:r>
              <w:rPr>
                <w:sz w:val="20"/>
                <w:szCs w:val="20"/>
              </w:rPr>
              <w:t xml:space="preserve"> said bringing in teachers is the first step and the county’s 4,800 workers will be the next. </w:t>
            </w:r>
            <w:hyperlink r:id="rId11" w:history="1">
              <w:r>
                <w:rPr>
                  <w:rStyle w:val="Hyperlink"/>
                  <w:b/>
                  <w:bCs/>
                  <w:sz w:val="20"/>
                  <w:szCs w:val="20"/>
                </w:rPr>
                <w:t>Download Audio</w:t>
              </w:r>
            </w:hyperlink>
          </w:p>
          <w:p w:rsidR="00606657" w:rsidRDefault="00606657" w:rsidP="00606657">
            <w:pPr>
              <w:shd w:val="clear" w:color="auto" w:fill="FFF2CC"/>
              <w:rPr>
                <w:b/>
                <w:bCs/>
                <w:sz w:val="20"/>
                <w:szCs w:val="20"/>
              </w:rPr>
            </w:pPr>
            <w:r>
              <w:rPr>
                <w:b/>
                <w:bCs/>
                <w:color w:val="000000"/>
                <w:sz w:val="20"/>
                <w:szCs w:val="20"/>
              </w:rPr>
              <w:t xml:space="preserve">Business Daily </w:t>
            </w:r>
          </w:p>
          <w:tbl>
            <w:tblPr>
              <w:tblW w:w="0" w:type="auto"/>
              <w:tblCellMar>
                <w:left w:w="0" w:type="dxa"/>
                <w:right w:w="0" w:type="dxa"/>
              </w:tblCellMar>
              <w:tblLook w:val="04A0" w:firstRow="1" w:lastRow="0" w:firstColumn="1" w:lastColumn="0" w:noHBand="0" w:noVBand="1"/>
            </w:tblPr>
            <w:tblGrid>
              <w:gridCol w:w="12041"/>
            </w:tblGrid>
            <w:tr w:rsidR="00606657" w:rsidTr="00277288">
              <w:trPr>
                <w:trHeight w:val="3855"/>
              </w:trPr>
              <w:tc>
                <w:tcPr>
                  <w:tcW w:w="12041" w:type="dxa"/>
                  <w:tcMar>
                    <w:top w:w="0" w:type="dxa"/>
                    <w:left w:w="108" w:type="dxa"/>
                    <w:bottom w:w="0" w:type="dxa"/>
                    <w:right w:w="108" w:type="dxa"/>
                  </w:tcMar>
                </w:tcPr>
                <w:p w:rsidR="00606657" w:rsidRDefault="00606657" w:rsidP="00606657">
                  <w:pPr>
                    <w:framePr w:hSpace="180" w:wrap="around" w:vAnchor="text" w:hAnchor="margin" w:y="1"/>
                    <w:rPr>
                      <w:sz w:val="20"/>
                      <w:szCs w:val="20"/>
                    </w:rPr>
                  </w:pPr>
                </w:p>
                <w:tbl>
                  <w:tblPr>
                    <w:tblW w:w="11730" w:type="dxa"/>
                    <w:tblInd w:w="44" w:type="dxa"/>
                    <w:tblCellMar>
                      <w:left w:w="0" w:type="dxa"/>
                      <w:right w:w="0" w:type="dxa"/>
                    </w:tblCellMar>
                    <w:tblLook w:val="04A0" w:firstRow="1" w:lastRow="0" w:firstColumn="1" w:lastColumn="0" w:noHBand="0" w:noVBand="1"/>
                  </w:tblPr>
                  <w:tblGrid>
                    <w:gridCol w:w="6239"/>
                    <w:gridCol w:w="5491"/>
                  </w:tblGrid>
                  <w:tr w:rsidR="00606657" w:rsidTr="00277288">
                    <w:trPr>
                      <w:trHeight w:val="4976"/>
                    </w:trPr>
                    <w:tc>
                      <w:tcPr>
                        <w:tcW w:w="6239" w:type="dxa"/>
                        <w:tcMar>
                          <w:top w:w="0" w:type="dxa"/>
                          <w:left w:w="108" w:type="dxa"/>
                          <w:bottom w:w="0" w:type="dxa"/>
                          <w:right w:w="108" w:type="dxa"/>
                        </w:tcMar>
                        <w:hideMark/>
                      </w:tcPr>
                      <w:p w:rsidR="00606657" w:rsidRDefault="00606657" w:rsidP="00606657">
                        <w:pPr>
                          <w:framePr w:hSpace="180" w:wrap="around" w:vAnchor="text" w:hAnchor="margin" w:y="1"/>
                          <w:rPr>
                            <w:sz w:val="20"/>
                            <w:szCs w:val="20"/>
                          </w:rPr>
                        </w:pPr>
                        <w:r>
                          <w:rPr>
                            <w:noProof/>
                          </w:rPr>
                          <w:drawing>
                            <wp:inline distT="0" distB="0" distL="0" distR="0" wp14:anchorId="3114B1B6" wp14:editId="01F25DD3">
                              <wp:extent cx="3724275" cy="3895725"/>
                              <wp:effectExtent l="0" t="0" r="9525" b="9525"/>
                              <wp:docPr id="43" name="Picture 43" descr="cid:image026.jpg@01D706E8.63852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d:image026.jpg@01D706E8.63852B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724275" cy="3895725"/>
                                      </a:xfrm>
                                      <a:prstGeom prst="rect">
                                        <a:avLst/>
                                      </a:prstGeom>
                                      <a:noFill/>
                                      <a:ln>
                                        <a:noFill/>
                                      </a:ln>
                                    </pic:spPr>
                                  </pic:pic>
                                </a:graphicData>
                              </a:graphic>
                            </wp:inline>
                          </w:drawing>
                        </w:r>
                      </w:p>
                    </w:tc>
                    <w:tc>
                      <w:tcPr>
                        <w:tcW w:w="5496" w:type="dxa"/>
                        <w:tcMar>
                          <w:top w:w="0" w:type="dxa"/>
                          <w:left w:w="108" w:type="dxa"/>
                          <w:bottom w:w="0" w:type="dxa"/>
                          <w:right w:w="108" w:type="dxa"/>
                        </w:tcMar>
                      </w:tcPr>
                      <w:p w:rsidR="00606657" w:rsidRDefault="00606657" w:rsidP="00606657">
                        <w:pPr>
                          <w:framePr w:hSpace="180" w:wrap="around" w:vAnchor="text" w:hAnchor="margin" w:y="1"/>
                          <w:rPr>
                            <w:rStyle w:val="Hyperlink"/>
                            <w:b/>
                            <w:bCs/>
                          </w:rPr>
                        </w:pPr>
                        <w:r>
                          <w:rPr>
                            <w:b/>
                            <w:bCs/>
                            <w:sz w:val="20"/>
                            <w:szCs w:val="20"/>
                          </w:rPr>
                          <w:t>How to beat Crooks using insurance for money laundering:</w:t>
                        </w:r>
                        <w:r>
                          <w:rPr>
                            <w:sz w:val="20"/>
                            <w:szCs w:val="20"/>
                          </w:rPr>
                          <w:t xml:space="preserve"> An unexpected call comes to a financial adviser or agent: “I have some Sh10 million in cash and a couple of </w:t>
                        </w:r>
                        <w:proofErr w:type="spellStart"/>
                        <w:r>
                          <w:rPr>
                            <w:sz w:val="20"/>
                            <w:szCs w:val="20"/>
                          </w:rPr>
                          <w:t>cheques</w:t>
                        </w:r>
                        <w:proofErr w:type="spellEnd"/>
                        <w:r>
                          <w:rPr>
                            <w:sz w:val="20"/>
                            <w:szCs w:val="20"/>
                          </w:rPr>
                          <w:t xml:space="preserve"> and would like to deposit them into my unit trust account and use some to purchase a life insurance product ASAP. </w:t>
                        </w:r>
                        <w:hyperlink r:id="rId14" w:history="1">
                          <w:r>
                            <w:rPr>
                              <w:rStyle w:val="Hyperlink"/>
                              <w:b/>
                              <w:bCs/>
                              <w:sz w:val="20"/>
                              <w:szCs w:val="20"/>
                            </w:rPr>
                            <w:t>Read More</w:t>
                          </w:r>
                        </w:hyperlink>
                      </w:p>
                      <w:p w:rsidR="00606657" w:rsidRDefault="00606657" w:rsidP="00606657">
                        <w:pPr>
                          <w:pStyle w:val="NoSpacing"/>
                          <w:framePr w:hSpace="180" w:wrap="around" w:vAnchor="text" w:hAnchor="margin" w:y="1"/>
                          <w:rPr>
                            <w:rStyle w:val="Hyperlink"/>
                            <w:b/>
                            <w:bCs/>
                            <w:sz w:val="20"/>
                            <w:szCs w:val="20"/>
                          </w:rPr>
                        </w:pPr>
                        <w:r>
                          <w:rPr>
                            <w:b/>
                            <w:bCs/>
                            <w:sz w:val="20"/>
                            <w:szCs w:val="20"/>
                          </w:rPr>
                          <w:t>Investors dividend payouts offer relief in pandemic year:</w:t>
                        </w:r>
                        <w:r>
                          <w:rPr>
                            <w:sz w:val="20"/>
                            <w:szCs w:val="20"/>
                          </w:rPr>
                          <w:t xml:space="preserve"> Companies have resumed paying dividends to shareholders despite a difficult year as a result of the coronavirus pandemic that led to calls to conserve cash. </w:t>
                        </w:r>
                        <w:hyperlink r:id="rId15" w:history="1">
                          <w:r>
                            <w:rPr>
                              <w:rStyle w:val="Hyperlink"/>
                              <w:b/>
                              <w:bCs/>
                              <w:sz w:val="20"/>
                              <w:szCs w:val="20"/>
                            </w:rPr>
                            <w:t>Read More</w:t>
                          </w:r>
                        </w:hyperlink>
                      </w:p>
                      <w:p w:rsidR="00606657" w:rsidRDefault="00606657" w:rsidP="00606657">
                        <w:pPr>
                          <w:pStyle w:val="NoSpacing"/>
                          <w:framePr w:hSpace="180" w:wrap="around" w:vAnchor="text" w:hAnchor="margin" w:y="1"/>
                        </w:pPr>
                        <w:r>
                          <w:rPr>
                            <w:b/>
                            <w:bCs/>
                            <w:sz w:val="20"/>
                            <w:szCs w:val="20"/>
                          </w:rPr>
                          <w:t>South African Agency now withdraws rating for Prime Bank’s Insurer:</w:t>
                        </w:r>
                        <w:r>
                          <w:rPr>
                            <w:sz w:val="20"/>
                            <w:szCs w:val="20"/>
                          </w:rPr>
                          <w:t xml:space="preserve"> South African ratings firm Global Credit Ratings (GCR) has withdrawn the credit profile of Prime Bank’s </w:t>
                        </w:r>
                        <w:proofErr w:type="spellStart"/>
                        <w:r>
                          <w:rPr>
                            <w:sz w:val="20"/>
                            <w:szCs w:val="20"/>
                          </w:rPr>
                          <w:t>Tausi</w:t>
                        </w:r>
                        <w:proofErr w:type="spellEnd"/>
                        <w:r>
                          <w:rPr>
                            <w:sz w:val="20"/>
                            <w:szCs w:val="20"/>
                          </w:rPr>
                          <w:t xml:space="preserve"> Assurance company, weeks after suspending the insurer's ratings for failing to disclose information. GCR said it will no longer rate the agency adding that the </w:t>
                        </w:r>
                        <w:proofErr w:type="gramStart"/>
                        <w:r>
                          <w:rPr>
                            <w:sz w:val="20"/>
                            <w:szCs w:val="20"/>
                          </w:rPr>
                          <w:t>A(</w:t>
                        </w:r>
                        <w:proofErr w:type="gramEnd"/>
                        <w:r>
                          <w:rPr>
                            <w:sz w:val="20"/>
                            <w:szCs w:val="20"/>
                          </w:rPr>
                          <w:t xml:space="preserve">KE) rating issued after a review in October 2019, which indicated high credit quality and certainty of timely payments, has been withdrawn. GCR also recently withdrew the credit profile of </w:t>
                        </w:r>
                        <w:proofErr w:type="spellStart"/>
                        <w:r>
                          <w:rPr>
                            <w:sz w:val="20"/>
                            <w:szCs w:val="20"/>
                          </w:rPr>
                          <w:t>Naushad</w:t>
                        </w:r>
                        <w:proofErr w:type="spellEnd"/>
                        <w:r>
                          <w:rPr>
                            <w:sz w:val="20"/>
                            <w:szCs w:val="20"/>
                          </w:rPr>
                          <w:t xml:space="preserve"> </w:t>
                        </w:r>
                        <w:proofErr w:type="spellStart"/>
                        <w:r>
                          <w:rPr>
                            <w:sz w:val="20"/>
                            <w:szCs w:val="20"/>
                          </w:rPr>
                          <w:t>Merali</w:t>
                        </w:r>
                        <w:proofErr w:type="spellEnd"/>
                        <w:r>
                          <w:rPr>
                            <w:sz w:val="20"/>
                            <w:szCs w:val="20"/>
                          </w:rPr>
                          <w:t>-associated Fidelity Shield Insurance company for failing to disclose information, weeks after suspending the insurer's ratings</w:t>
                        </w:r>
                        <w:r>
                          <w:rPr>
                            <w:b/>
                            <w:bCs/>
                            <w:sz w:val="20"/>
                            <w:szCs w:val="20"/>
                          </w:rPr>
                          <w:t xml:space="preserve">. </w:t>
                        </w:r>
                        <w:hyperlink r:id="rId16" w:history="1">
                          <w:r>
                            <w:rPr>
                              <w:rStyle w:val="Hyperlink"/>
                              <w:b/>
                              <w:bCs/>
                              <w:sz w:val="20"/>
                              <w:szCs w:val="20"/>
                            </w:rPr>
                            <w:t>Read More</w:t>
                          </w:r>
                        </w:hyperlink>
                      </w:p>
                      <w:p w:rsidR="00606657" w:rsidRDefault="00606657" w:rsidP="00606657">
                        <w:pPr>
                          <w:framePr w:hSpace="180" w:wrap="around" w:vAnchor="text" w:hAnchor="margin" w:y="1"/>
                          <w:rPr>
                            <w:b/>
                            <w:bCs/>
                            <w:sz w:val="20"/>
                            <w:szCs w:val="20"/>
                          </w:rPr>
                        </w:pPr>
                        <w:r>
                          <w:rPr>
                            <w:b/>
                            <w:bCs/>
                            <w:sz w:val="20"/>
                            <w:szCs w:val="20"/>
                          </w:rPr>
                          <w:t>Every home to pay NHIF Sh6</w:t>
                        </w:r>
                        <w:proofErr w:type="gramStart"/>
                        <w:r>
                          <w:rPr>
                            <w:b/>
                            <w:bCs/>
                            <w:sz w:val="20"/>
                            <w:szCs w:val="20"/>
                          </w:rPr>
                          <w:t>,000</w:t>
                        </w:r>
                        <w:proofErr w:type="gramEnd"/>
                        <w:r>
                          <w:rPr>
                            <w:b/>
                            <w:bCs/>
                            <w:sz w:val="20"/>
                            <w:szCs w:val="20"/>
                          </w:rPr>
                          <w:t xml:space="preserve"> in new reforms</w:t>
                        </w:r>
                        <w:r>
                          <w:rPr>
                            <w:sz w:val="20"/>
                            <w:szCs w:val="20"/>
                          </w:rPr>
                          <w:t xml:space="preserve">: Each household will soon make a compulsory Sh500 contribution to the National Hospital Insurance Fund (NHIF) as the state lines up a health cover for all Kenyans. </w:t>
                        </w:r>
                        <w:hyperlink r:id="rId17" w:history="1">
                          <w:r>
                            <w:rPr>
                              <w:rStyle w:val="Hyperlink"/>
                              <w:b/>
                              <w:bCs/>
                              <w:sz w:val="20"/>
                              <w:szCs w:val="20"/>
                            </w:rPr>
                            <w:t>Read More</w:t>
                          </w:r>
                        </w:hyperlink>
                      </w:p>
                      <w:p w:rsidR="00606657" w:rsidRDefault="00606657" w:rsidP="00606657">
                        <w:pPr>
                          <w:pStyle w:val="NoSpacing"/>
                          <w:framePr w:hSpace="180" w:wrap="around" w:vAnchor="text" w:hAnchor="margin" w:y="1"/>
                          <w:rPr>
                            <w:sz w:val="20"/>
                            <w:szCs w:val="20"/>
                          </w:rPr>
                        </w:pPr>
                      </w:p>
                    </w:tc>
                  </w:tr>
                </w:tbl>
                <w:p w:rsidR="00606657" w:rsidRDefault="00606657" w:rsidP="00606657">
                  <w:pPr>
                    <w:framePr w:hSpace="180" w:wrap="around" w:vAnchor="text" w:hAnchor="margin" w:y="1"/>
                    <w:rPr>
                      <w:sz w:val="20"/>
                      <w:szCs w:val="20"/>
                    </w:rPr>
                  </w:pPr>
                </w:p>
              </w:tc>
            </w:tr>
          </w:tbl>
          <w:p w:rsidR="00606657" w:rsidRDefault="00606657" w:rsidP="00606657">
            <w:pPr>
              <w:shd w:val="clear" w:color="auto" w:fill="FFC000"/>
              <w:rPr>
                <w:b/>
                <w:bCs/>
                <w:sz w:val="20"/>
                <w:szCs w:val="20"/>
              </w:rPr>
            </w:pPr>
            <w:r>
              <w:rPr>
                <w:b/>
                <w:bCs/>
                <w:color w:val="000000"/>
                <w:sz w:val="20"/>
                <w:szCs w:val="20"/>
                <w:shd w:val="clear" w:color="auto" w:fill="FFCC00"/>
              </w:rPr>
              <w:t>Daily Nation</w:t>
            </w:r>
            <w:r>
              <w:rPr>
                <w:b/>
                <w:bCs/>
                <w:color w:val="000000"/>
                <w:sz w:val="20"/>
                <w:szCs w:val="20"/>
              </w:rPr>
              <w:t xml:space="preserve"> </w:t>
            </w:r>
          </w:p>
          <w:p w:rsidR="00606657" w:rsidRDefault="00606657" w:rsidP="00606657">
            <w:pPr>
              <w:rPr>
                <w:sz w:val="20"/>
                <w:szCs w:val="20"/>
              </w:rPr>
            </w:pPr>
          </w:p>
          <w:tbl>
            <w:tblPr>
              <w:tblW w:w="12045" w:type="dxa"/>
              <w:tblCellMar>
                <w:left w:w="0" w:type="dxa"/>
                <w:right w:w="0" w:type="dxa"/>
              </w:tblCellMar>
              <w:tblLook w:val="04A0" w:firstRow="1" w:lastRow="0" w:firstColumn="1" w:lastColumn="0" w:noHBand="0" w:noVBand="1"/>
            </w:tblPr>
            <w:tblGrid>
              <w:gridCol w:w="4342"/>
              <w:gridCol w:w="7703"/>
            </w:tblGrid>
            <w:tr w:rsidR="00606657" w:rsidTr="00277288">
              <w:trPr>
                <w:trHeight w:val="3362"/>
              </w:trPr>
              <w:tc>
                <w:tcPr>
                  <w:tcW w:w="4341" w:type="dxa"/>
                  <w:tcMar>
                    <w:top w:w="0" w:type="dxa"/>
                    <w:left w:w="108" w:type="dxa"/>
                    <w:bottom w:w="0" w:type="dxa"/>
                    <w:right w:w="108" w:type="dxa"/>
                  </w:tcMar>
                  <w:hideMark/>
                </w:tcPr>
                <w:p w:rsidR="00606657" w:rsidRDefault="00606657" w:rsidP="00606657">
                  <w:pPr>
                    <w:framePr w:hSpace="180" w:wrap="around" w:vAnchor="text" w:hAnchor="margin" w:y="1"/>
                    <w:rPr>
                      <w:sz w:val="20"/>
                      <w:szCs w:val="20"/>
                    </w:rPr>
                  </w:pPr>
                  <w:r>
                    <w:rPr>
                      <w:noProof/>
                    </w:rPr>
                    <w:lastRenderedPageBreak/>
                    <w:drawing>
                      <wp:inline distT="0" distB="0" distL="0" distR="0" wp14:anchorId="4A061ECD" wp14:editId="67D86C53">
                        <wp:extent cx="2400300" cy="2238375"/>
                        <wp:effectExtent l="0" t="0" r="0" b="9525"/>
                        <wp:docPr id="42" name="Picture 42" descr="cid:image027.jpg@01D706E8.63852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id:image027.jpg@01D706E8.63852B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00300" cy="2238375"/>
                                </a:xfrm>
                                <a:prstGeom prst="rect">
                                  <a:avLst/>
                                </a:prstGeom>
                                <a:noFill/>
                                <a:ln>
                                  <a:noFill/>
                                </a:ln>
                              </pic:spPr>
                            </pic:pic>
                          </a:graphicData>
                        </a:graphic>
                      </wp:inline>
                    </w:drawing>
                  </w:r>
                </w:p>
              </w:tc>
              <w:tc>
                <w:tcPr>
                  <w:tcW w:w="7700" w:type="dxa"/>
                  <w:tcMar>
                    <w:top w:w="0" w:type="dxa"/>
                    <w:left w:w="108" w:type="dxa"/>
                    <w:bottom w:w="0" w:type="dxa"/>
                    <w:right w:w="108" w:type="dxa"/>
                  </w:tcMar>
                </w:tcPr>
                <w:p w:rsidR="00606657" w:rsidRDefault="00606657" w:rsidP="00606657">
                  <w:pPr>
                    <w:framePr w:hSpace="180" w:wrap="around" w:vAnchor="text" w:hAnchor="margin" w:y="1"/>
                    <w:jc w:val="both"/>
                    <w:rPr>
                      <w:rStyle w:val="Hyperlink"/>
                      <w:b/>
                      <w:bCs/>
                    </w:rPr>
                  </w:pPr>
                  <w:r>
                    <w:rPr>
                      <w:b/>
                      <w:bCs/>
                      <w:sz w:val="20"/>
                      <w:szCs w:val="20"/>
                    </w:rPr>
                    <w:t xml:space="preserve">Celebrating 10 years of Takaful Insurance: </w:t>
                  </w:r>
                  <w:r>
                    <w:rPr>
                      <w:sz w:val="20"/>
                      <w:szCs w:val="20"/>
                    </w:rPr>
                    <w:t xml:space="preserve">Message form the CEO, Topmost Ahmed </w:t>
                  </w:r>
                  <w:proofErr w:type="spellStart"/>
                  <w:r>
                    <w:rPr>
                      <w:sz w:val="20"/>
                      <w:szCs w:val="20"/>
                    </w:rPr>
                    <w:t>Kassim</w:t>
                  </w:r>
                  <w:proofErr w:type="spellEnd"/>
                  <w:r>
                    <w:rPr>
                      <w:sz w:val="20"/>
                      <w:szCs w:val="20"/>
                    </w:rPr>
                    <w:t xml:space="preserve"> of </w:t>
                  </w:r>
                  <w:proofErr w:type="spellStart"/>
                  <w:r>
                    <w:rPr>
                      <w:sz w:val="20"/>
                      <w:szCs w:val="20"/>
                    </w:rPr>
                    <w:t>Towfiq</w:t>
                  </w:r>
                  <w:proofErr w:type="spellEnd"/>
                  <w:r>
                    <w:rPr>
                      <w:sz w:val="20"/>
                      <w:szCs w:val="20"/>
                    </w:rPr>
                    <w:t xml:space="preserve"> Distributors and Wholesalers and above, Samson Onyango of Vickers Security receive their Surplus </w:t>
                  </w:r>
                  <w:proofErr w:type="spellStart"/>
                  <w:r>
                    <w:rPr>
                      <w:sz w:val="20"/>
                      <w:szCs w:val="20"/>
                    </w:rPr>
                    <w:t>Cheques</w:t>
                  </w:r>
                  <w:proofErr w:type="spellEnd"/>
                  <w:r>
                    <w:rPr>
                      <w:sz w:val="20"/>
                      <w:szCs w:val="20"/>
                    </w:rPr>
                    <w:t xml:space="preserve"> from the Chairman of Takaful Insurance of Africa Adan </w:t>
                  </w:r>
                  <w:proofErr w:type="spellStart"/>
                  <w:r>
                    <w:rPr>
                      <w:sz w:val="20"/>
                      <w:szCs w:val="20"/>
                    </w:rPr>
                    <w:t>Daud</w:t>
                  </w:r>
                  <w:proofErr w:type="spellEnd"/>
                  <w:r>
                    <w:rPr>
                      <w:sz w:val="20"/>
                      <w:szCs w:val="20"/>
                    </w:rPr>
                    <w:t xml:space="preserve"> Mohamed and the Head of Technical, Peter Mwaniki</w:t>
                  </w:r>
                  <w:r>
                    <w:rPr>
                      <w:b/>
                      <w:bCs/>
                      <w:sz w:val="20"/>
                      <w:szCs w:val="20"/>
                    </w:rPr>
                    <w:t>.</w:t>
                  </w:r>
                  <w:r>
                    <w:rPr>
                      <w:sz w:val="20"/>
                      <w:szCs w:val="20"/>
                    </w:rPr>
                    <w:t xml:space="preserve"> </w:t>
                  </w:r>
                  <w:hyperlink r:id="rId20" w:history="1">
                    <w:r>
                      <w:rPr>
                        <w:rStyle w:val="Hyperlink"/>
                        <w:b/>
                        <w:bCs/>
                        <w:sz w:val="20"/>
                        <w:szCs w:val="20"/>
                      </w:rPr>
                      <w:t>Read More</w:t>
                    </w:r>
                  </w:hyperlink>
                </w:p>
                <w:p w:rsidR="00606657" w:rsidRDefault="00606657" w:rsidP="00606657">
                  <w:pPr>
                    <w:framePr w:hSpace="180" w:wrap="around" w:vAnchor="text" w:hAnchor="margin" w:y="1"/>
                    <w:jc w:val="both"/>
                    <w:rPr>
                      <w:rStyle w:val="Hyperlink"/>
                      <w:b/>
                      <w:bCs/>
                      <w:sz w:val="20"/>
                      <w:szCs w:val="20"/>
                    </w:rPr>
                  </w:pPr>
                </w:p>
                <w:p w:rsidR="00606657" w:rsidRDefault="00606657" w:rsidP="00606657">
                  <w:pPr>
                    <w:framePr w:hSpace="180" w:wrap="around" w:vAnchor="text" w:hAnchor="margin" w:y="1"/>
                    <w:jc w:val="both"/>
                  </w:pPr>
                  <w:r>
                    <w:rPr>
                      <w:b/>
                      <w:bCs/>
                      <w:sz w:val="20"/>
                      <w:szCs w:val="20"/>
                    </w:rPr>
                    <w:t xml:space="preserve">About Takaful and how we do business at TIA: </w:t>
                  </w:r>
                  <w:r>
                    <w:rPr>
                      <w:sz w:val="20"/>
                      <w:szCs w:val="20"/>
                    </w:rPr>
                    <w:t xml:space="preserve">Who we are, concept and principles and our approach to business. </w:t>
                  </w:r>
                  <w:hyperlink r:id="rId21" w:history="1">
                    <w:r>
                      <w:rPr>
                        <w:rStyle w:val="Hyperlink"/>
                        <w:b/>
                        <w:bCs/>
                        <w:sz w:val="20"/>
                        <w:szCs w:val="20"/>
                      </w:rPr>
                      <w:t>Read More</w:t>
                    </w:r>
                  </w:hyperlink>
                </w:p>
                <w:p w:rsidR="00606657" w:rsidRDefault="00606657" w:rsidP="00606657">
                  <w:pPr>
                    <w:framePr w:hSpace="180" w:wrap="around" w:vAnchor="text" w:hAnchor="margin" w:y="1"/>
                    <w:jc w:val="both"/>
                    <w:rPr>
                      <w:b/>
                      <w:bCs/>
                      <w:sz w:val="20"/>
                      <w:szCs w:val="20"/>
                    </w:rPr>
                  </w:pPr>
                </w:p>
                <w:p w:rsidR="00606657" w:rsidRDefault="00606657" w:rsidP="00606657">
                  <w:pPr>
                    <w:framePr w:hSpace="180" w:wrap="around" w:vAnchor="text" w:hAnchor="margin" w:y="1"/>
                    <w:rPr>
                      <w:sz w:val="20"/>
                      <w:szCs w:val="20"/>
                    </w:rPr>
                  </w:pPr>
                  <w:proofErr w:type="spellStart"/>
                  <w:r>
                    <w:rPr>
                      <w:b/>
                      <w:bCs/>
                    </w:rPr>
                    <w:t>Yatani</w:t>
                  </w:r>
                  <w:proofErr w:type="spellEnd"/>
                  <w:r>
                    <w:rPr>
                      <w:b/>
                      <w:bCs/>
                    </w:rPr>
                    <w:t xml:space="preserve"> raids agencies' coffers for Sh23bn</w:t>
                  </w:r>
                  <w:r>
                    <w:t xml:space="preserve">: The National Treasury has drawn more than </w:t>
                  </w:r>
                  <w:proofErr w:type="spellStart"/>
                  <w:r>
                    <w:t>Sh</w:t>
                  </w:r>
                  <w:proofErr w:type="spellEnd"/>
                  <w:r>
                    <w:t xml:space="preserve"> 23 billion from State corporations in 11 months, signaling a biting cash crunch in government caused by missed tax collection targets. Other firms and agencies that have been paying in the government dividends running into hundreds of millions of shillings annually include KCB group, Insurance Regulatory Authority (IRA) and </w:t>
                  </w:r>
                  <w:proofErr w:type="spellStart"/>
                  <w:r>
                    <w:t>KenGen</w:t>
                  </w:r>
                  <w:proofErr w:type="spellEnd"/>
                  <w:r>
                    <w:t xml:space="preserve">. </w:t>
                  </w:r>
                  <w:hyperlink r:id="rId22" w:history="1">
                    <w:r>
                      <w:rPr>
                        <w:rStyle w:val="Hyperlink"/>
                        <w:b/>
                        <w:bCs/>
                        <w:sz w:val="20"/>
                        <w:szCs w:val="20"/>
                      </w:rPr>
                      <w:t>Read More</w:t>
                    </w:r>
                  </w:hyperlink>
                </w:p>
                <w:p w:rsidR="00606657" w:rsidRDefault="00606657" w:rsidP="00606657">
                  <w:pPr>
                    <w:framePr w:hSpace="180" w:wrap="around" w:vAnchor="text" w:hAnchor="margin" w:y="1"/>
                  </w:pPr>
                </w:p>
              </w:tc>
            </w:tr>
          </w:tbl>
          <w:p w:rsidR="00606657" w:rsidRDefault="00606657" w:rsidP="00606657">
            <w:pPr>
              <w:shd w:val="clear" w:color="auto" w:fill="FF0000"/>
              <w:rPr>
                <w:b/>
                <w:bCs/>
                <w:sz w:val="20"/>
                <w:szCs w:val="20"/>
              </w:rPr>
            </w:pPr>
            <w:r>
              <w:rPr>
                <w:b/>
                <w:bCs/>
                <w:color w:val="000000"/>
                <w:sz w:val="20"/>
                <w:szCs w:val="20"/>
                <w:shd w:val="clear" w:color="auto" w:fill="FF0000"/>
              </w:rPr>
              <w:t>The Standard</w:t>
            </w:r>
            <w:r>
              <w:rPr>
                <w:b/>
                <w:bCs/>
                <w:color w:val="000000"/>
                <w:sz w:val="20"/>
                <w:szCs w:val="20"/>
              </w:rPr>
              <w:t xml:space="preserve"> </w:t>
            </w:r>
          </w:p>
          <w:tbl>
            <w:tblPr>
              <w:tblW w:w="11760" w:type="dxa"/>
              <w:tblCellMar>
                <w:left w:w="0" w:type="dxa"/>
                <w:right w:w="0" w:type="dxa"/>
              </w:tblCellMar>
              <w:tblLook w:val="04A0" w:firstRow="1" w:lastRow="0" w:firstColumn="1" w:lastColumn="0" w:noHBand="0" w:noVBand="1"/>
            </w:tblPr>
            <w:tblGrid>
              <w:gridCol w:w="4409"/>
              <w:gridCol w:w="7351"/>
            </w:tblGrid>
            <w:tr w:rsidR="00606657" w:rsidTr="00277288">
              <w:trPr>
                <w:trHeight w:val="1695"/>
              </w:trPr>
              <w:tc>
                <w:tcPr>
                  <w:tcW w:w="4409" w:type="dxa"/>
                  <w:tcMar>
                    <w:top w:w="0" w:type="dxa"/>
                    <w:left w:w="108" w:type="dxa"/>
                    <w:bottom w:w="0" w:type="dxa"/>
                    <w:right w:w="108" w:type="dxa"/>
                  </w:tcMar>
                </w:tcPr>
                <w:p w:rsidR="00606657" w:rsidRDefault="00606657" w:rsidP="00606657">
                  <w:pPr>
                    <w:framePr w:hSpace="180" w:wrap="around" w:vAnchor="text" w:hAnchor="margin" w:y="1"/>
                    <w:rPr>
                      <w:sz w:val="20"/>
                      <w:szCs w:val="20"/>
                    </w:rPr>
                  </w:pPr>
                  <w:r>
                    <w:rPr>
                      <w:noProof/>
                      <w:sz w:val="20"/>
                      <w:szCs w:val="20"/>
                    </w:rPr>
                    <w:drawing>
                      <wp:inline distT="0" distB="0" distL="0" distR="0" wp14:anchorId="74C0926D" wp14:editId="1ABE5D7B">
                        <wp:extent cx="2286000" cy="1676400"/>
                        <wp:effectExtent l="0" t="0" r="0" b="0"/>
                        <wp:docPr id="41" name="Picture 41" descr="cid:image028.jpg@01D706E8.63852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id:image028.jpg@01D706E8.63852B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0" cy="1676400"/>
                                </a:xfrm>
                                <a:prstGeom prst="rect">
                                  <a:avLst/>
                                </a:prstGeom>
                                <a:noFill/>
                                <a:ln>
                                  <a:noFill/>
                                </a:ln>
                              </pic:spPr>
                            </pic:pic>
                          </a:graphicData>
                        </a:graphic>
                      </wp:inline>
                    </w:drawing>
                  </w:r>
                </w:p>
                <w:p w:rsidR="00606657" w:rsidRDefault="00606657" w:rsidP="00606657">
                  <w:pPr>
                    <w:framePr w:hSpace="180" w:wrap="around" w:vAnchor="text" w:hAnchor="margin" w:y="1"/>
                    <w:rPr>
                      <w:sz w:val="20"/>
                      <w:szCs w:val="20"/>
                    </w:rPr>
                  </w:pPr>
                </w:p>
              </w:tc>
              <w:tc>
                <w:tcPr>
                  <w:tcW w:w="7356" w:type="dxa"/>
                  <w:tcMar>
                    <w:top w:w="0" w:type="dxa"/>
                    <w:left w:w="108" w:type="dxa"/>
                    <w:bottom w:w="0" w:type="dxa"/>
                    <w:right w:w="108" w:type="dxa"/>
                  </w:tcMar>
                </w:tcPr>
                <w:p w:rsidR="00606657" w:rsidRDefault="00606657" w:rsidP="00606657">
                  <w:pPr>
                    <w:framePr w:hSpace="180" w:wrap="around" w:vAnchor="text" w:hAnchor="margin" w:y="1"/>
                    <w:jc w:val="both"/>
                    <w:rPr>
                      <w:b/>
                      <w:bCs/>
                      <w:sz w:val="20"/>
                      <w:szCs w:val="20"/>
                    </w:rPr>
                  </w:pPr>
                  <w:r>
                    <w:rPr>
                      <w:b/>
                      <w:bCs/>
                      <w:sz w:val="20"/>
                      <w:szCs w:val="20"/>
                    </w:rPr>
                    <w:t>Insurer adds hospitals to its scheme:</w:t>
                  </w:r>
                  <w:r>
                    <w:rPr>
                      <w:sz w:val="20"/>
                      <w:szCs w:val="20"/>
                    </w:rPr>
                    <w:t xml:space="preserve"> </w:t>
                  </w:r>
                  <w:proofErr w:type="spellStart"/>
                  <w:r>
                    <w:rPr>
                      <w:sz w:val="20"/>
                      <w:szCs w:val="20"/>
                    </w:rPr>
                    <w:t>Minet</w:t>
                  </w:r>
                  <w:proofErr w:type="spellEnd"/>
                  <w:r>
                    <w:rPr>
                      <w:sz w:val="20"/>
                      <w:szCs w:val="20"/>
                    </w:rPr>
                    <w:t xml:space="preserve"> Kenya the administrator of the teachers’ service commission medical scheme has enlisted </w:t>
                  </w:r>
                  <w:proofErr w:type="spellStart"/>
                  <w:r>
                    <w:rPr>
                      <w:sz w:val="20"/>
                      <w:szCs w:val="20"/>
                    </w:rPr>
                    <w:t>Nyeri</w:t>
                  </w:r>
                  <w:proofErr w:type="spellEnd"/>
                  <w:r>
                    <w:rPr>
                      <w:sz w:val="20"/>
                      <w:szCs w:val="20"/>
                    </w:rPr>
                    <w:t xml:space="preserve"> county referral hospital to its scheme. The move is aimed at opening more county's hospitals to provide medical services to teachers</w:t>
                  </w:r>
                  <w:r>
                    <w:rPr>
                      <w:b/>
                      <w:bCs/>
                      <w:sz w:val="20"/>
                      <w:szCs w:val="20"/>
                    </w:rPr>
                    <w:t>.</w:t>
                  </w:r>
                  <w:r>
                    <w:rPr>
                      <w:sz w:val="20"/>
                      <w:szCs w:val="20"/>
                    </w:rPr>
                    <w:t xml:space="preserve"> </w:t>
                  </w:r>
                  <w:hyperlink r:id="rId25" w:history="1">
                    <w:r>
                      <w:rPr>
                        <w:rStyle w:val="Hyperlink"/>
                        <w:b/>
                        <w:bCs/>
                        <w:sz w:val="20"/>
                        <w:szCs w:val="20"/>
                      </w:rPr>
                      <w:t>Read More</w:t>
                    </w:r>
                  </w:hyperlink>
                  <w:r>
                    <w:rPr>
                      <w:b/>
                      <w:bCs/>
                      <w:sz w:val="20"/>
                      <w:szCs w:val="20"/>
                    </w:rPr>
                    <w:t xml:space="preserve"> </w:t>
                  </w:r>
                </w:p>
                <w:p w:rsidR="00606657" w:rsidRDefault="00606657" w:rsidP="00606657">
                  <w:pPr>
                    <w:framePr w:hSpace="180" w:wrap="around" w:vAnchor="text" w:hAnchor="margin" w:y="1"/>
                    <w:jc w:val="both"/>
                    <w:rPr>
                      <w:sz w:val="20"/>
                      <w:szCs w:val="20"/>
                    </w:rPr>
                  </w:pPr>
                </w:p>
                <w:p w:rsidR="00606657" w:rsidRDefault="00606657" w:rsidP="00606657">
                  <w:pPr>
                    <w:framePr w:hSpace="180" w:wrap="around" w:vAnchor="text" w:hAnchor="margin" w:y="1"/>
                    <w:jc w:val="both"/>
                    <w:rPr>
                      <w:sz w:val="20"/>
                      <w:szCs w:val="20"/>
                    </w:rPr>
                  </w:pPr>
                </w:p>
                <w:p w:rsidR="00606657" w:rsidRDefault="00606657" w:rsidP="00606657">
                  <w:pPr>
                    <w:framePr w:hSpace="180" w:wrap="around" w:vAnchor="text" w:hAnchor="margin" w:y="1"/>
                    <w:rPr>
                      <w:sz w:val="20"/>
                      <w:szCs w:val="20"/>
                    </w:rPr>
                  </w:pPr>
                </w:p>
                <w:p w:rsidR="00606657" w:rsidRDefault="00606657" w:rsidP="00606657">
                  <w:pPr>
                    <w:framePr w:hSpace="180" w:wrap="around" w:vAnchor="text" w:hAnchor="margin" w:y="1"/>
                    <w:rPr>
                      <w:sz w:val="20"/>
                      <w:szCs w:val="20"/>
                    </w:rPr>
                  </w:pPr>
                </w:p>
                <w:p w:rsidR="00606657" w:rsidRDefault="00606657" w:rsidP="00606657">
                  <w:pPr>
                    <w:framePr w:hSpace="180" w:wrap="around" w:vAnchor="text" w:hAnchor="margin" w:y="1"/>
                    <w:rPr>
                      <w:sz w:val="20"/>
                      <w:szCs w:val="20"/>
                    </w:rPr>
                  </w:pPr>
                </w:p>
                <w:p w:rsidR="00606657" w:rsidRDefault="00606657" w:rsidP="00606657">
                  <w:pPr>
                    <w:framePr w:hSpace="180" w:wrap="around" w:vAnchor="text" w:hAnchor="margin" w:y="1"/>
                    <w:rPr>
                      <w:sz w:val="20"/>
                      <w:szCs w:val="20"/>
                    </w:rPr>
                  </w:pPr>
                </w:p>
              </w:tc>
            </w:tr>
          </w:tbl>
          <w:p w:rsidR="00606657" w:rsidRDefault="00606657" w:rsidP="00606657">
            <w:pPr>
              <w:shd w:val="clear" w:color="auto" w:fill="0070C0"/>
              <w:rPr>
                <w:sz w:val="20"/>
                <w:szCs w:val="20"/>
              </w:rPr>
            </w:pPr>
            <w:r>
              <w:rPr>
                <w:color w:val="000000"/>
                <w:sz w:val="20"/>
                <w:szCs w:val="20"/>
              </w:rPr>
              <w:t>Star</w:t>
            </w:r>
          </w:p>
          <w:tbl>
            <w:tblPr>
              <w:tblW w:w="11415" w:type="dxa"/>
              <w:tblCellMar>
                <w:left w:w="0" w:type="dxa"/>
                <w:right w:w="0" w:type="dxa"/>
              </w:tblCellMar>
              <w:tblLook w:val="04A0" w:firstRow="1" w:lastRow="0" w:firstColumn="1" w:lastColumn="0" w:noHBand="0" w:noVBand="1"/>
            </w:tblPr>
            <w:tblGrid>
              <w:gridCol w:w="4379"/>
              <w:gridCol w:w="7036"/>
            </w:tblGrid>
            <w:tr w:rsidR="00606657" w:rsidTr="00277288">
              <w:trPr>
                <w:trHeight w:val="2697"/>
              </w:trPr>
              <w:tc>
                <w:tcPr>
                  <w:tcW w:w="4380" w:type="dxa"/>
                  <w:tcMar>
                    <w:top w:w="0" w:type="dxa"/>
                    <w:left w:w="108" w:type="dxa"/>
                    <w:bottom w:w="0" w:type="dxa"/>
                    <w:right w:w="108" w:type="dxa"/>
                  </w:tcMar>
                  <w:hideMark/>
                </w:tcPr>
                <w:p w:rsidR="00606657" w:rsidRDefault="00606657" w:rsidP="00606657">
                  <w:pPr>
                    <w:framePr w:hSpace="180" w:wrap="around" w:vAnchor="text" w:hAnchor="margin" w:y="1"/>
                    <w:rPr>
                      <w:sz w:val="20"/>
                      <w:szCs w:val="20"/>
                    </w:rPr>
                  </w:pPr>
                  <w:r>
                    <w:rPr>
                      <w:noProof/>
                      <w:sz w:val="20"/>
                      <w:szCs w:val="20"/>
                    </w:rPr>
                    <w:lastRenderedPageBreak/>
                    <w:drawing>
                      <wp:inline distT="0" distB="0" distL="0" distR="0" wp14:anchorId="1414F128" wp14:editId="02744B39">
                        <wp:extent cx="2200275" cy="1752600"/>
                        <wp:effectExtent l="0" t="0" r="9525" b="0"/>
                        <wp:docPr id="40" name="Picture 40" descr="cid:image029.jpg@01D706E8.63852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id:image029.jpg@01D706E8.63852B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00275" cy="1752600"/>
                                </a:xfrm>
                                <a:prstGeom prst="rect">
                                  <a:avLst/>
                                </a:prstGeom>
                                <a:noFill/>
                                <a:ln>
                                  <a:noFill/>
                                </a:ln>
                              </pic:spPr>
                            </pic:pic>
                          </a:graphicData>
                        </a:graphic>
                      </wp:inline>
                    </w:drawing>
                  </w:r>
                </w:p>
              </w:tc>
              <w:tc>
                <w:tcPr>
                  <w:tcW w:w="7040" w:type="dxa"/>
                  <w:tcMar>
                    <w:top w:w="0" w:type="dxa"/>
                    <w:left w:w="108" w:type="dxa"/>
                    <w:bottom w:w="0" w:type="dxa"/>
                    <w:right w:w="108" w:type="dxa"/>
                  </w:tcMar>
                </w:tcPr>
                <w:p w:rsidR="00606657" w:rsidRDefault="00606657" w:rsidP="00606657">
                  <w:pPr>
                    <w:framePr w:hSpace="180" w:wrap="around" w:vAnchor="text" w:hAnchor="margin" w:y="1"/>
                    <w:jc w:val="both"/>
                    <w:rPr>
                      <w:sz w:val="20"/>
                      <w:szCs w:val="20"/>
                    </w:rPr>
                  </w:pPr>
                  <w:r>
                    <w:rPr>
                      <w:b/>
                      <w:bCs/>
                      <w:sz w:val="20"/>
                      <w:szCs w:val="20"/>
                    </w:rPr>
                    <w:t xml:space="preserve">Madison General Insurance Kenya Ltd: </w:t>
                  </w:r>
                  <w:r>
                    <w:rPr>
                      <w:sz w:val="20"/>
                      <w:szCs w:val="20"/>
                    </w:rPr>
                    <w:t xml:space="preserve">Madison General Insurance Kenya Ltd MD </w:t>
                  </w:r>
                  <w:proofErr w:type="spellStart"/>
                  <w:r>
                    <w:rPr>
                      <w:sz w:val="20"/>
                      <w:szCs w:val="20"/>
                    </w:rPr>
                    <w:t>Hezlon</w:t>
                  </w:r>
                  <w:proofErr w:type="spellEnd"/>
                  <w:r>
                    <w:rPr>
                      <w:sz w:val="20"/>
                      <w:szCs w:val="20"/>
                    </w:rPr>
                    <w:t xml:space="preserve"> </w:t>
                  </w:r>
                  <w:proofErr w:type="spellStart"/>
                  <w:r>
                    <w:rPr>
                      <w:sz w:val="20"/>
                      <w:szCs w:val="20"/>
                    </w:rPr>
                    <w:t>Wambugu</w:t>
                  </w:r>
                  <w:proofErr w:type="spellEnd"/>
                  <w:r>
                    <w:rPr>
                      <w:sz w:val="20"/>
                      <w:szCs w:val="20"/>
                    </w:rPr>
                    <w:t xml:space="preserve"> addresses a business forum during the Kenya National Chambers of Commerce and Industry meeting in Nairobi's </w:t>
                  </w:r>
                  <w:proofErr w:type="spellStart"/>
                  <w:r>
                    <w:rPr>
                      <w:sz w:val="20"/>
                      <w:szCs w:val="20"/>
                    </w:rPr>
                    <w:t>Movenpick</w:t>
                  </w:r>
                  <w:proofErr w:type="spellEnd"/>
                  <w:r>
                    <w:rPr>
                      <w:sz w:val="20"/>
                      <w:szCs w:val="20"/>
                    </w:rPr>
                    <w:t xml:space="preserve"> hotel. Madison and KNCCI have partnered for networking and business growth. </w:t>
                  </w:r>
                  <w:hyperlink r:id="rId28" w:history="1">
                    <w:r>
                      <w:rPr>
                        <w:rStyle w:val="Hyperlink"/>
                        <w:b/>
                        <w:bCs/>
                        <w:sz w:val="20"/>
                        <w:szCs w:val="20"/>
                      </w:rPr>
                      <w:t>Read More</w:t>
                    </w:r>
                  </w:hyperlink>
                </w:p>
                <w:p w:rsidR="00606657" w:rsidRDefault="00606657" w:rsidP="00606657">
                  <w:pPr>
                    <w:framePr w:hSpace="180" w:wrap="around" w:vAnchor="text" w:hAnchor="margin" w:y="1"/>
                    <w:rPr>
                      <w:sz w:val="20"/>
                      <w:szCs w:val="20"/>
                    </w:rPr>
                  </w:pPr>
                </w:p>
                <w:p w:rsidR="00606657" w:rsidRDefault="00606657" w:rsidP="00606657">
                  <w:pPr>
                    <w:framePr w:hSpace="180" w:wrap="around" w:vAnchor="text" w:hAnchor="margin" w:y="1"/>
                    <w:rPr>
                      <w:sz w:val="20"/>
                      <w:szCs w:val="20"/>
                    </w:rPr>
                  </w:pPr>
                </w:p>
              </w:tc>
            </w:tr>
          </w:tbl>
          <w:p w:rsidR="00606657" w:rsidRDefault="00606657" w:rsidP="00606657">
            <w:pPr>
              <w:shd w:val="clear" w:color="auto" w:fill="00B050"/>
              <w:rPr>
                <w:b/>
                <w:bCs/>
                <w:sz w:val="20"/>
                <w:szCs w:val="20"/>
                <w:shd w:val="clear" w:color="auto" w:fill="00B050"/>
              </w:rPr>
            </w:pPr>
            <w:r>
              <w:rPr>
                <w:b/>
                <w:bCs/>
                <w:color w:val="000000"/>
                <w:sz w:val="20"/>
                <w:szCs w:val="20"/>
                <w:shd w:val="clear" w:color="auto" w:fill="00B050"/>
              </w:rPr>
              <w:t xml:space="preserve">People Daily                                                     </w:t>
            </w:r>
          </w:p>
          <w:tbl>
            <w:tblPr>
              <w:tblW w:w="11835" w:type="dxa"/>
              <w:tblCellMar>
                <w:left w:w="0" w:type="dxa"/>
                <w:right w:w="0" w:type="dxa"/>
              </w:tblCellMar>
              <w:tblLook w:val="04A0" w:firstRow="1" w:lastRow="0" w:firstColumn="1" w:lastColumn="0" w:noHBand="0" w:noVBand="1"/>
            </w:tblPr>
            <w:tblGrid>
              <w:gridCol w:w="4380"/>
              <w:gridCol w:w="7455"/>
            </w:tblGrid>
            <w:tr w:rsidR="00606657" w:rsidTr="00277288">
              <w:trPr>
                <w:trHeight w:val="4320"/>
              </w:trPr>
              <w:tc>
                <w:tcPr>
                  <w:tcW w:w="4380" w:type="dxa"/>
                  <w:tcMar>
                    <w:top w:w="0" w:type="dxa"/>
                    <w:left w:w="108" w:type="dxa"/>
                    <w:bottom w:w="0" w:type="dxa"/>
                    <w:right w:w="108" w:type="dxa"/>
                  </w:tcMar>
                  <w:hideMark/>
                </w:tcPr>
                <w:p w:rsidR="00606657" w:rsidRDefault="00606657" w:rsidP="00606657">
                  <w:pPr>
                    <w:framePr w:hSpace="180" w:wrap="around" w:vAnchor="text" w:hAnchor="margin" w:y="1"/>
                    <w:rPr>
                      <w:sz w:val="20"/>
                      <w:szCs w:val="20"/>
                      <w:shd w:val="clear" w:color="auto" w:fill="00B050"/>
                    </w:rPr>
                  </w:pPr>
                  <w:r>
                    <w:rPr>
                      <w:noProof/>
                      <w:sz w:val="20"/>
                      <w:szCs w:val="20"/>
                    </w:rPr>
                    <w:drawing>
                      <wp:inline distT="0" distB="0" distL="0" distR="0" wp14:anchorId="42768C52" wp14:editId="58F1EBA0">
                        <wp:extent cx="2219325" cy="3371850"/>
                        <wp:effectExtent l="0" t="0" r="9525" b="0"/>
                        <wp:docPr id="39" name="Picture 39" descr="cid:image030.jpg@01D706E8.63852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id:image030.jpg@01D706E8.63852B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19325" cy="3371850"/>
                                </a:xfrm>
                                <a:prstGeom prst="rect">
                                  <a:avLst/>
                                </a:prstGeom>
                                <a:noFill/>
                                <a:ln>
                                  <a:noFill/>
                                </a:ln>
                              </pic:spPr>
                            </pic:pic>
                          </a:graphicData>
                        </a:graphic>
                      </wp:inline>
                    </w:drawing>
                  </w:r>
                </w:p>
              </w:tc>
              <w:tc>
                <w:tcPr>
                  <w:tcW w:w="7454" w:type="dxa"/>
                  <w:tcMar>
                    <w:top w:w="0" w:type="dxa"/>
                    <w:left w:w="108" w:type="dxa"/>
                    <w:bottom w:w="0" w:type="dxa"/>
                    <w:right w:w="108" w:type="dxa"/>
                  </w:tcMar>
                  <w:hideMark/>
                </w:tcPr>
                <w:p w:rsidR="00606657" w:rsidRDefault="00606657" w:rsidP="00606657">
                  <w:pPr>
                    <w:framePr w:hSpace="180" w:wrap="around" w:vAnchor="text" w:hAnchor="margin" w:y="1"/>
                    <w:jc w:val="both"/>
                    <w:rPr>
                      <w:rStyle w:val="Hyperlink"/>
                      <w:b/>
                      <w:bCs/>
                    </w:rPr>
                  </w:pPr>
                  <w:r>
                    <w:rPr>
                      <w:b/>
                      <w:bCs/>
                      <w:sz w:val="20"/>
                      <w:szCs w:val="20"/>
                    </w:rPr>
                    <w:t xml:space="preserve">Spanish firm injects sh142m into African Trade Insurance: </w:t>
                  </w:r>
                  <w:r>
                    <w:rPr>
                      <w:sz w:val="20"/>
                      <w:szCs w:val="20"/>
                    </w:rPr>
                    <w:t>African Trade Insurance Agency (ATI) has secured $1.3 million (Sh142.3 million) equity investment from the Spanish Export Credit Agency (CESCE). The deal, concluded in December 2020, makes the Spanish agency the 30th shareholder in the Nairobi-based ATI. Manuel Moses, ATI chief executive said the transfer of skills and technology will contribute towards increased value addition for locally manufactured goods and enhanced trade, thereby supporting the goals of the Africa’s Continental Free Trade Area</w:t>
                  </w:r>
                  <w:r>
                    <w:rPr>
                      <w:b/>
                      <w:bCs/>
                      <w:sz w:val="20"/>
                      <w:szCs w:val="20"/>
                    </w:rPr>
                    <w:t>.</w:t>
                  </w:r>
                  <w:r>
                    <w:rPr>
                      <w:sz w:val="20"/>
                      <w:szCs w:val="20"/>
                    </w:rPr>
                    <w:t xml:space="preserve"> </w:t>
                  </w:r>
                  <w:hyperlink r:id="rId31" w:history="1">
                    <w:r>
                      <w:rPr>
                        <w:rStyle w:val="Hyperlink"/>
                        <w:b/>
                        <w:bCs/>
                        <w:sz w:val="20"/>
                        <w:szCs w:val="20"/>
                      </w:rPr>
                      <w:t>Read More</w:t>
                    </w:r>
                  </w:hyperlink>
                </w:p>
                <w:p w:rsidR="00606657" w:rsidRDefault="00606657" w:rsidP="00606657">
                  <w:pPr>
                    <w:framePr w:hSpace="180" w:wrap="around" w:vAnchor="text" w:hAnchor="margin" w:y="1"/>
                  </w:pPr>
                  <w:r>
                    <w:rPr>
                      <w:b/>
                      <w:bCs/>
                      <w:sz w:val="20"/>
                      <w:szCs w:val="20"/>
                    </w:rPr>
                    <w:t xml:space="preserve">UK-based global insurance firm, </w:t>
                  </w:r>
                  <w:proofErr w:type="spellStart"/>
                  <w:r>
                    <w:rPr>
                      <w:b/>
                      <w:bCs/>
                      <w:sz w:val="20"/>
                      <w:szCs w:val="20"/>
                    </w:rPr>
                    <w:t>Linkham</w:t>
                  </w:r>
                  <w:proofErr w:type="spellEnd"/>
                  <w:r>
                    <w:rPr>
                      <w:b/>
                      <w:bCs/>
                      <w:sz w:val="20"/>
                      <w:szCs w:val="20"/>
                    </w:rPr>
                    <w:t xml:space="preserve"> Group has acquired stakes in a local insurance company as global multinationals intensify the race for a share of the local market</w:t>
                  </w:r>
                  <w:r>
                    <w:rPr>
                      <w:sz w:val="20"/>
                      <w:szCs w:val="20"/>
                    </w:rPr>
                    <w:t xml:space="preserve">. Acquisition of Leapfrog Investments by </w:t>
                  </w:r>
                  <w:proofErr w:type="spellStart"/>
                  <w:r>
                    <w:rPr>
                      <w:sz w:val="20"/>
                      <w:szCs w:val="20"/>
                    </w:rPr>
                    <w:t>Linkham</w:t>
                  </w:r>
                  <w:proofErr w:type="spellEnd"/>
                  <w:r>
                    <w:rPr>
                      <w:sz w:val="20"/>
                      <w:szCs w:val="20"/>
                    </w:rPr>
                    <w:t xml:space="preserve"> Group, will see the firm own a majority stake in Resolution Health. The move comes less than a year after German insurer Allianz bought a controlling stake in Jubilee Insurance. Leapfrog also recently sold its minority stake in Apollo Insurance to Swiss Re in a clear sign of growing appetite for Kenya’s growing premiums. Kenya’s insurance penetration is estimated at 2 per cent which is way below the global average of 6 per cent, making it attractive </w:t>
                  </w:r>
                  <w:hyperlink r:id="rId32" w:history="1">
                    <w:r>
                      <w:rPr>
                        <w:rStyle w:val="Hyperlink"/>
                        <w:b/>
                        <w:bCs/>
                        <w:sz w:val="20"/>
                        <w:szCs w:val="20"/>
                      </w:rPr>
                      <w:t>Read More</w:t>
                    </w:r>
                  </w:hyperlink>
                </w:p>
                <w:p w:rsidR="00606657" w:rsidRDefault="00606657" w:rsidP="00606657">
                  <w:pPr>
                    <w:framePr w:hSpace="180" w:wrap="around" w:vAnchor="text" w:hAnchor="margin" w:y="1"/>
                    <w:jc w:val="both"/>
                    <w:rPr>
                      <w:sz w:val="20"/>
                      <w:szCs w:val="20"/>
                      <w:shd w:val="clear" w:color="auto" w:fill="00B050"/>
                    </w:rPr>
                  </w:pPr>
                  <w:r>
                    <w:rPr>
                      <w:b/>
                      <w:bCs/>
                      <w:sz w:val="20"/>
                      <w:szCs w:val="20"/>
                    </w:rPr>
                    <w:t xml:space="preserve">HOSPITALS: </w:t>
                  </w:r>
                  <w:proofErr w:type="spellStart"/>
                  <w:r>
                    <w:rPr>
                      <w:b/>
                      <w:bCs/>
                      <w:sz w:val="20"/>
                      <w:szCs w:val="20"/>
                    </w:rPr>
                    <w:t>Minet</w:t>
                  </w:r>
                  <w:proofErr w:type="spellEnd"/>
                  <w:r>
                    <w:rPr>
                      <w:b/>
                      <w:bCs/>
                      <w:sz w:val="20"/>
                      <w:szCs w:val="20"/>
                    </w:rPr>
                    <w:t xml:space="preserve"> Kenya, the administrator of the Teacher Service Commission (TSC) Medical Scheme, has enlisted three government hospitals in </w:t>
                  </w:r>
                  <w:proofErr w:type="spellStart"/>
                  <w:r>
                    <w:rPr>
                      <w:b/>
                      <w:bCs/>
                      <w:sz w:val="20"/>
                      <w:szCs w:val="20"/>
                    </w:rPr>
                    <w:t>Nyeri</w:t>
                  </w:r>
                  <w:proofErr w:type="spellEnd"/>
                  <w:r>
                    <w:rPr>
                      <w:b/>
                      <w:bCs/>
                      <w:sz w:val="20"/>
                      <w:szCs w:val="20"/>
                    </w:rPr>
                    <w:t xml:space="preserve"> County under the scheme</w:t>
                  </w:r>
                  <w:r>
                    <w:rPr>
                      <w:sz w:val="20"/>
                      <w:szCs w:val="20"/>
                    </w:rPr>
                    <w:t xml:space="preserve">. In a move aimed at opening up county hospitals for the provision of medical services to teachers, </w:t>
                  </w:r>
                  <w:proofErr w:type="spellStart"/>
                  <w:r>
                    <w:rPr>
                      <w:sz w:val="20"/>
                      <w:szCs w:val="20"/>
                    </w:rPr>
                    <w:t>Minet</w:t>
                  </w:r>
                  <w:proofErr w:type="spellEnd"/>
                  <w:r>
                    <w:rPr>
                      <w:sz w:val="20"/>
                      <w:szCs w:val="20"/>
                    </w:rPr>
                    <w:t xml:space="preserve"> Kenya has enlisted </w:t>
                  </w:r>
                  <w:proofErr w:type="spellStart"/>
                  <w:r>
                    <w:rPr>
                      <w:sz w:val="20"/>
                      <w:szCs w:val="20"/>
                    </w:rPr>
                    <w:t>Nyeri</w:t>
                  </w:r>
                  <w:proofErr w:type="spellEnd"/>
                  <w:r>
                    <w:rPr>
                      <w:sz w:val="20"/>
                      <w:szCs w:val="20"/>
                    </w:rPr>
                    <w:t xml:space="preserve"> County Referral hospital, </w:t>
                  </w:r>
                  <w:proofErr w:type="spellStart"/>
                  <w:r>
                    <w:rPr>
                      <w:sz w:val="20"/>
                      <w:szCs w:val="20"/>
                    </w:rPr>
                    <w:t>Karatina</w:t>
                  </w:r>
                  <w:proofErr w:type="spellEnd"/>
                  <w:r>
                    <w:rPr>
                      <w:sz w:val="20"/>
                      <w:szCs w:val="20"/>
                    </w:rPr>
                    <w:t xml:space="preserve"> General hospital and Mt Kenya hospital as the first government hospitals under the scheme within </w:t>
                  </w:r>
                  <w:proofErr w:type="spellStart"/>
                  <w:r>
                    <w:rPr>
                      <w:sz w:val="20"/>
                      <w:szCs w:val="20"/>
                    </w:rPr>
                    <w:t>Nyeri</w:t>
                  </w:r>
                  <w:proofErr w:type="spellEnd"/>
                  <w:r>
                    <w:rPr>
                      <w:sz w:val="20"/>
                      <w:szCs w:val="20"/>
                    </w:rPr>
                    <w:t xml:space="preserve"> County and will be offering outpatient, inpatient, specialized and dental services on direct access. </w:t>
                  </w:r>
                  <w:hyperlink r:id="rId33" w:history="1">
                    <w:r>
                      <w:rPr>
                        <w:rStyle w:val="Hyperlink"/>
                        <w:b/>
                        <w:bCs/>
                        <w:sz w:val="20"/>
                        <w:szCs w:val="20"/>
                      </w:rPr>
                      <w:t>Read More</w:t>
                    </w:r>
                  </w:hyperlink>
                </w:p>
              </w:tc>
            </w:tr>
          </w:tbl>
          <w:p w:rsidR="00606657" w:rsidRDefault="00606657" w:rsidP="00606657">
            <w:pPr>
              <w:rPr>
                <w:sz w:val="20"/>
                <w:szCs w:val="20"/>
              </w:rPr>
            </w:pPr>
          </w:p>
        </w:tc>
      </w:tr>
      <w:tr w:rsidR="00606657" w:rsidTr="00606657">
        <w:tc>
          <w:tcPr>
            <w:tcW w:w="13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6657" w:rsidRDefault="00606657" w:rsidP="00606657">
            <w:pPr>
              <w:jc w:val="both"/>
              <w:rPr>
                <w:b/>
                <w:bCs/>
                <w:sz w:val="20"/>
                <w:szCs w:val="20"/>
              </w:rPr>
            </w:pPr>
          </w:p>
          <w:p w:rsidR="00606657" w:rsidRDefault="00606657" w:rsidP="00606657">
            <w:pPr>
              <w:jc w:val="both"/>
              <w:rPr>
                <w:b/>
                <w:bCs/>
                <w:sz w:val="20"/>
                <w:szCs w:val="20"/>
              </w:rPr>
            </w:pPr>
          </w:p>
          <w:p w:rsidR="00606657" w:rsidRDefault="00606657" w:rsidP="00606657">
            <w:pPr>
              <w:jc w:val="both"/>
              <w:rPr>
                <w:b/>
                <w:bCs/>
                <w:sz w:val="20"/>
                <w:szCs w:val="20"/>
              </w:rPr>
            </w:pPr>
          </w:p>
          <w:p w:rsidR="00606657" w:rsidRPr="00606657" w:rsidRDefault="00606657" w:rsidP="00606657">
            <w:pPr>
              <w:jc w:val="both"/>
              <w:rPr>
                <w:b/>
                <w:bCs/>
                <w:sz w:val="32"/>
                <w:szCs w:val="32"/>
              </w:rPr>
            </w:pPr>
            <w:r w:rsidRPr="00606657">
              <w:rPr>
                <w:b/>
                <w:bCs/>
                <w:sz w:val="32"/>
                <w:szCs w:val="32"/>
              </w:rPr>
              <w:lastRenderedPageBreak/>
              <w:t>Social media watch...</w:t>
            </w:r>
            <w:bookmarkStart w:id="2" w:name="_GoBack"/>
            <w:bookmarkEnd w:id="2"/>
          </w:p>
          <w:p w:rsidR="00606657" w:rsidRDefault="00606657" w:rsidP="00606657">
            <w:pPr>
              <w:jc w:val="both"/>
              <w:rPr>
                <w:b/>
                <w:bCs/>
                <w:sz w:val="20"/>
                <w:szCs w:val="20"/>
              </w:rPr>
            </w:pPr>
          </w:p>
          <w:p w:rsidR="00606657" w:rsidRDefault="00606657" w:rsidP="00606657">
            <w:pPr>
              <w:jc w:val="both"/>
              <w:rPr>
                <w:sz w:val="20"/>
                <w:szCs w:val="20"/>
              </w:rPr>
            </w:pPr>
            <w:r>
              <w:rPr>
                <w:b/>
                <w:bCs/>
                <w:i/>
                <w:iCs/>
                <w:sz w:val="20"/>
                <w:szCs w:val="20"/>
              </w:rPr>
              <w:t>Kenyans:</w:t>
            </w:r>
            <w:r>
              <w:rPr>
                <w:sz w:val="20"/>
                <w:szCs w:val="20"/>
              </w:rPr>
              <w:t xml:space="preserve"> Businessmen Minting Millions from Stolen Car Parts in Nairobi: The Directorate of Criminal Investigations (DCI) on Wednesday, February 17, nabbed carjackers who have allegedly been stripping car parts from taxis in </w:t>
            </w:r>
            <w:proofErr w:type="spellStart"/>
            <w:r>
              <w:rPr>
                <w:sz w:val="20"/>
                <w:szCs w:val="20"/>
              </w:rPr>
              <w:t>Kiambu</w:t>
            </w:r>
            <w:proofErr w:type="spellEnd"/>
            <w:r>
              <w:rPr>
                <w:sz w:val="20"/>
                <w:szCs w:val="20"/>
              </w:rPr>
              <w:t xml:space="preserve"> and re-selling in Nairobi. The criminals are alleged to have been using taxi-hailing application to lure and commandeer vehicles after posing as customers. The vehicle parts are said to fetch very good money in the black market. The suspects are said to have hijacked a number of taxi operators before driving their vehicles to remote locations where they proceed to vandalize and steal detachable parts of the vehicle. According to the latest report (2018) published by the Association of Kenya Insurers (AKI), at least 100 cars are reported as stolen to insurance companies each month. “71% of vehicles reported stolen in the country are Toyotas followed by Isuzu (7%) and Nissan (5%). The rest constitute 17% cumulatively,” the report read in part. White remains the </w:t>
            </w:r>
            <w:proofErr w:type="spellStart"/>
            <w:r>
              <w:rPr>
                <w:sz w:val="20"/>
                <w:szCs w:val="20"/>
              </w:rPr>
              <w:t>favourite</w:t>
            </w:r>
            <w:proofErr w:type="spellEnd"/>
            <w:r>
              <w:rPr>
                <w:sz w:val="20"/>
                <w:szCs w:val="20"/>
              </w:rPr>
              <w:t xml:space="preserve"> </w:t>
            </w:r>
            <w:proofErr w:type="spellStart"/>
            <w:r>
              <w:rPr>
                <w:sz w:val="20"/>
                <w:szCs w:val="20"/>
              </w:rPr>
              <w:t>colour</w:t>
            </w:r>
            <w:proofErr w:type="spellEnd"/>
            <w:r>
              <w:rPr>
                <w:sz w:val="20"/>
                <w:szCs w:val="20"/>
              </w:rPr>
              <w:t xml:space="preserve"> for thieves (50%), followed by silver (21%).  66% of cars are stolen while parked, especially in public places like entertainment joints and churches, while 13% are hijacked.</w:t>
            </w:r>
          </w:p>
          <w:p w:rsidR="00606657" w:rsidRDefault="00606657" w:rsidP="00606657">
            <w:pPr>
              <w:jc w:val="both"/>
              <w:rPr>
                <w:sz w:val="20"/>
                <w:szCs w:val="20"/>
              </w:rPr>
            </w:pPr>
            <w:hyperlink r:id="rId34" w:history="1">
              <w:r>
                <w:rPr>
                  <w:rStyle w:val="Hyperlink"/>
                  <w:sz w:val="20"/>
                  <w:szCs w:val="20"/>
                </w:rPr>
                <w:t>https://www.kenyans.co.ke/news/62343-businessmen-minting-millions-stolen-car-parts-nairobi</w:t>
              </w:r>
            </w:hyperlink>
          </w:p>
          <w:p w:rsidR="00606657" w:rsidRDefault="00606657" w:rsidP="00606657">
            <w:pPr>
              <w:jc w:val="both"/>
              <w:rPr>
                <w:sz w:val="20"/>
                <w:szCs w:val="20"/>
              </w:rPr>
            </w:pPr>
          </w:p>
          <w:p w:rsidR="00606657" w:rsidRDefault="00606657" w:rsidP="00606657">
            <w:pPr>
              <w:jc w:val="both"/>
              <w:rPr>
                <w:sz w:val="20"/>
                <w:szCs w:val="20"/>
              </w:rPr>
            </w:pPr>
            <w:r>
              <w:rPr>
                <w:b/>
                <w:bCs/>
                <w:i/>
                <w:iCs/>
                <w:sz w:val="20"/>
                <w:szCs w:val="20"/>
              </w:rPr>
              <w:t>Business Daily Africa:</w:t>
            </w:r>
            <w:r>
              <w:rPr>
                <w:b/>
                <w:bCs/>
                <w:sz w:val="20"/>
                <w:szCs w:val="20"/>
              </w:rPr>
              <w:t xml:space="preserve"> How to beat crooks using insurance for money laundering: An unexpected call comes to a financial adviser or agent: </w:t>
            </w:r>
            <w:r>
              <w:rPr>
                <w:sz w:val="20"/>
                <w:szCs w:val="20"/>
              </w:rPr>
              <w:t xml:space="preserve">“I have some Sh10 million in cash and a couple of </w:t>
            </w:r>
            <w:proofErr w:type="spellStart"/>
            <w:r>
              <w:rPr>
                <w:sz w:val="20"/>
                <w:szCs w:val="20"/>
              </w:rPr>
              <w:t>cheques</w:t>
            </w:r>
            <w:proofErr w:type="spellEnd"/>
            <w:r>
              <w:rPr>
                <w:sz w:val="20"/>
                <w:szCs w:val="20"/>
              </w:rPr>
              <w:t xml:space="preserve"> and would like to deposit them into my unit trust account and use some to purchase a life insurance product ASAP. I am travelling early tomorrow, could you urgently send me the paperwork I finalize the transaction before I leave? “The client is advised and within a couple of days, he receives his refunds less some minuscule transaction costs and early redemption fees depending on whether it was an investment or insurance product. The client walks away with a seemingly “clean refund” from the company. The above could be one of the many ways insurance and investment companies can be used by criminals to launder illicitly acquired funds. Many life insurance products, though not likely to be the first vehicle of choice for money laundering, are becoming increasingly popular for money laundering. High-risk life assurance products include unit-linked policies, whole-life policies, fixed and variable annuity, among others. Life insurance products can also be bought as an investment or saving vehicles, some allow clients to borrow against premiums already contributed, some products support estate planning or pension plans while special products are designed for High-Net-Worth individuals.</w:t>
            </w:r>
          </w:p>
          <w:p w:rsidR="00606657" w:rsidRDefault="00606657" w:rsidP="00606657">
            <w:pPr>
              <w:jc w:val="both"/>
              <w:rPr>
                <w:sz w:val="20"/>
                <w:szCs w:val="20"/>
              </w:rPr>
            </w:pPr>
            <w:hyperlink r:id="rId35" w:history="1">
              <w:r>
                <w:rPr>
                  <w:rStyle w:val="Hyperlink"/>
                  <w:sz w:val="20"/>
                  <w:szCs w:val="20"/>
                </w:rPr>
                <w:t>https://www.businessdailyafrica.com/bd/opinion-analysis/ideas-debate/how-insurance-for-money-laundering-3293784</w:t>
              </w:r>
            </w:hyperlink>
          </w:p>
          <w:p w:rsidR="00606657" w:rsidRDefault="00606657" w:rsidP="00606657">
            <w:pPr>
              <w:jc w:val="both"/>
              <w:rPr>
                <w:sz w:val="20"/>
                <w:szCs w:val="20"/>
              </w:rPr>
            </w:pPr>
          </w:p>
          <w:p w:rsidR="00606657" w:rsidRDefault="00606657" w:rsidP="00606657">
            <w:pPr>
              <w:jc w:val="both"/>
              <w:rPr>
                <w:sz w:val="20"/>
                <w:szCs w:val="20"/>
              </w:rPr>
            </w:pPr>
            <w:r>
              <w:rPr>
                <w:b/>
                <w:bCs/>
                <w:i/>
                <w:iCs/>
                <w:sz w:val="20"/>
                <w:szCs w:val="20"/>
              </w:rPr>
              <w:t>CNBC Africa:</w:t>
            </w:r>
            <w:r>
              <w:rPr>
                <w:b/>
                <w:bCs/>
                <w:sz w:val="20"/>
                <w:szCs w:val="20"/>
              </w:rPr>
              <w:t xml:space="preserve"> AKI on how COVID-19 has impacted Kenya’s insurance sector: </w:t>
            </w:r>
            <w:r>
              <w:rPr>
                <w:sz w:val="20"/>
                <w:szCs w:val="20"/>
              </w:rPr>
              <w:t xml:space="preserve">Insurance policy cancellations and withdrawals in Kenya rose by 26 per cent in the six months to June last year as COVID-19 effects made it difficult for customers to keep up with premium payments. CNBC Africa spoke to Tom Gichuhi, Executive Director of the Association of Kenya Insurers joins CNBC Africa for more. </w:t>
            </w:r>
          </w:p>
          <w:p w:rsidR="00606657" w:rsidRDefault="00606657" w:rsidP="00606657">
            <w:pPr>
              <w:jc w:val="both"/>
              <w:rPr>
                <w:sz w:val="20"/>
                <w:szCs w:val="20"/>
              </w:rPr>
            </w:pPr>
            <w:hyperlink r:id="rId36" w:history="1">
              <w:r>
                <w:rPr>
                  <w:rStyle w:val="Hyperlink"/>
                  <w:sz w:val="20"/>
                  <w:szCs w:val="20"/>
                </w:rPr>
                <w:t>https://www.cnbcafrica.com/2021/aki-on-how-covid-19-has-impacted-kenyas-insurance-sector/</w:t>
              </w:r>
            </w:hyperlink>
          </w:p>
          <w:p w:rsidR="00606657" w:rsidRDefault="00606657" w:rsidP="00606657">
            <w:pPr>
              <w:jc w:val="both"/>
              <w:rPr>
                <w:b/>
                <w:bCs/>
                <w:i/>
                <w:iCs/>
                <w:color w:val="1F497D"/>
                <w:sz w:val="20"/>
                <w:szCs w:val="20"/>
              </w:rPr>
            </w:pPr>
          </w:p>
          <w:p w:rsidR="00606657" w:rsidRDefault="00606657" w:rsidP="00606657">
            <w:pPr>
              <w:jc w:val="both"/>
              <w:rPr>
                <w:sz w:val="20"/>
                <w:szCs w:val="20"/>
              </w:rPr>
            </w:pPr>
            <w:r>
              <w:rPr>
                <w:b/>
                <w:bCs/>
                <w:i/>
                <w:iCs/>
                <w:sz w:val="20"/>
                <w:szCs w:val="20"/>
              </w:rPr>
              <w:t>Capital Digital:</w:t>
            </w:r>
            <w:r>
              <w:rPr>
                <w:sz w:val="20"/>
                <w:szCs w:val="20"/>
              </w:rPr>
              <w:t xml:space="preserve"> </w:t>
            </w:r>
            <w:r>
              <w:rPr>
                <w:b/>
                <w:bCs/>
                <w:sz w:val="20"/>
                <w:szCs w:val="20"/>
              </w:rPr>
              <w:t>KENYAUK Based Firm to Acquire Stake in Resolution Insurance:</w:t>
            </w:r>
            <w:r>
              <w:rPr>
                <w:sz w:val="20"/>
                <w:szCs w:val="20"/>
              </w:rPr>
              <w:t xml:space="preserve"> UK-based global insurance solutions firm, </w:t>
            </w:r>
            <w:proofErr w:type="spellStart"/>
            <w:r>
              <w:rPr>
                <w:sz w:val="20"/>
                <w:szCs w:val="20"/>
              </w:rPr>
              <w:t>Linkham</w:t>
            </w:r>
            <w:proofErr w:type="spellEnd"/>
            <w:r>
              <w:rPr>
                <w:sz w:val="20"/>
                <w:szCs w:val="20"/>
              </w:rPr>
              <w:t xml:space="preserve"> Group will acquire a stake in Resolution Insurance after agreeing to purchase 100percent of the equity holding of private equity impact investment firm, Leapfrog Investments, for an undisclosed sum. The agreement is subject to certain closing conditions, including regulatory approvals in Kenya, and is expected to complete within this quarter. The Insurance Regulatory Authority (IRA) of Kenya gave a nod to the parties to progress the transaction to completion in a move that will see Resolution Insurance business immediately gain access to </w:t>
            </w:r>
            <w:proofErr w:type="spellStart"/>
            <w:r>
              <w:rPr>
                <w:sz w:val="20"/>
                <w:szCs w:val="20"/>
              </w:rPr>
              <w:t>Linkham</w:t>
            </w:r>
            <w:proofErr w:type="spellEnd"/>
            <w:r>
              <w:rPr>
                <w:sz w:val="20"/>
                <w:szCs w:val="20"/>
              </w:rPr>
              <w:t xml:space="preserve"> Group’s financial and insurance networks in Africa and across the globe.</w:t>
            </w:r>
          </w:p>
          <w:p w:rsidR="00606657" w:rsidRDefault="00606657" w:rsidP="00606657">
            <w:pPr>
              <w:jc w:val="both"/>
              <w:rPr>
                <w:sz w:val="20"/>
                <w:szCs w:val="20"/>
              </w:rPr>
            </w:pPr>
            <w:hyperlink r:id="rId37" w:history="1">
              <w:r>
                <w:rPr>
                  <w:rStyle w:val="Hyperlink"/>
                  <w:sz w:val="20"/>
                  <w:szCs w:val="20"/>
                </w:rPr>
                <w:t>https://www.capitalfm.co.ke/business/2021/02/uk-based-firm-to-acquire-stake-in-resolution-insurance/</w:t>
              </w:r>
            </w:hyperlink>
          </w:p>
          <w:p w:rsidR="00606657" w:rsidRDefault="00606657" w:rsidP="00606657">
            <w:pPr>
              <w:rPr>
                <w:sz w:val="20"/>
                <w:szCs w:val="20"/>
              </w:rPr>
            </w:pPr>
          </w:p>
        </w:tc>
      </w:tr>
    </w:tbl>
    <w:p w:rsidR="00606657" w:rsidRDefault="00606657" w:rsidP="00606657"/>
    <w:p w:rsidR="00606657" w:rsidRDefault="00606657" w:rsidP="00606657"/>
    <w:p w:rsidR="00606657" w:rsidRDefault="00606657" w:rsidP="00606657">
      <w:pPr>
        <w:rPr>
          <w:lang w:val="en-GB"/>
        </w:rPr>
      </w:pPr>
    </w:p>
    <w:p w:rsidR="00606657" w:rsidRDefault="00606657" w:rsidP="00606657"/>
    <w:p w:rsidR="00606657" w:rsidRDefault="00606657" w:rsidP="00606657">
      <w:pPr>
        <w:rPr>
          <w:lang w:val="en-GB"/>
        </w:rPr>
      </w:pPr>
    </w:p>
    <w:bookmarkEnd w:id="0"/>
    <w:p w:rsidR="00606657" w:rsidRDefault="00606657" w:rsidP="00606657"/>
    <w:p w:rsidR="007A3D04" w:rsidRPr="00606657" w:rsidRDefault="007A3D04" w:rsidP="00606657"/>
    <w:sectPr w:rsidR="007A3D04" w:rsidRPr="00606657" w:rsidSect="0060665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57"/>
    <w:rsid w:val="00606657"/>
    <w:rsid w:val="007A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A4934-915D-435C-9248-29123BF2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657"/>
    <w:rPr>
      <w:color w:val="0563C1"/>
      <w:u w:val="single"/>
    </w:rPr>
  </w:style>
  <w:style w:type="paragraph" w:styleId="NoSpacing">
    <w:name w:val="No Spacing"/>
    <w:basedOn w:val="Normal"/>
    <w:uiPriority w:val="1"/>
    <w:qFormat/>
    <w:rsid w:val="0060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063021">
      <w:bodyDiv w:val="1"/>
      <w:marLeft w:val="0"/>
      <w:marRight w:val="0"/>
      <w:marTop w:val="0"/>
      <w:marBottom w:val="0"/>
      <w:divBdr>
        <w:top w:val="none" w:sz="0" w:space="0" w:color="auto"/>
        <w:left w:val="none" w:sz="0" w:space="0" w:color="auto"/>
        <w:bottom w:val="none" w:sz="0" w:space="0" w:color="auto"/>
        <w:right w:val="none" w:sz="0" w:space="0" w:color="auto"/>
      </w:divBdr>
    </w:div>
    <w:div w:id="19665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dspace.com/pro/kzql5k" TargetMode="External"/><Relationship Id="rId13" Type="http://schemas.openxmlformats.org/officeDocument/2006/relationships/image" Target="cid:image026.jpg@01D706E8.63852B10" TargetMode="External"/><Relationship Id="rId18" Type="http://schemas.openxmlformats.org/officeDocument/2006/relationships/image" Target="media/image6.jpeg"/><Relationship Id="rId26" Type="http://schemas.openxmlformats.org/officeDocument/2006/relationships/image" Target="media/image8.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pp.globetrack.co.ke/storage/monitoring_entries/1613712177.19.jpg" TargetMode="External"/><Relationship Id="rId34" Type="http://schemas.openxmlformats.org/officeDocument/2006/relationships/hyperlink" Target="https://www.kenyans.co.ke/news/62343-businessmen-minting-millions-stolen-car-parts-nairobi" TargetMode="External"/><Relationship Id="rId7" Type="http://schemas.openxmlformats.org/officeDocument/2006/relationships/image" Target="cid:image024.jpg@01D706E8.63852B10" TargetMode="External"/><Relationship Id="rId12" Type="http://schemas.openxmlformats.org/officeDocument/2006/relationships/image" Target="media/image5.jpeg"/><Relationship Id="rId17" Type="http://schemas.openxmlformats.org/officeDocument/2006/relationships/hyperlink" Target="https://app.globetrack.co.ke/storage/monitoring_entries/1613708825.16.jpg" TargetMode="External"/><Relationship Id="rId25" Type="http://schemas.openxmlformats.org/officeDocument/2006/relationships/hyperlink" Target="https://app.globetrack.co.ke/storage/monitoring_entries/1613451847.10.jpg" TargetMode="External"/><Relationship Id="rId33" Type="http://schemas.openxmlformats.org/officeDocument/2006/relationships/hyperlink" Target="https://app.globetrack.co.ke/storage/monitoring_entries/1613451944.11.jp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pp.globetrack.co.ke/storage/monitoring_entries/1613450748.17.jpg" TargetMode="External"/><Relationship Id="rId20" Type="http://schemas.openxmlformats.org/officeDocument/2006/relationships/hyperlink" Target="https://app.globetrack.co.ke/storage/monitoring_entries/1613712413.16.jpg" TargetMode="External"/><Relationship Id="rId29"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sendspace.com/pro/mvm7tq" TargetMode="External"/><Relationship Id="rId24" Type="http://schemas.openxmlformats.org/officeDocument/2006/relationships/image" Target="cid:image028.jpg@01D706E8.63852B10" TargetMode="External"/><Relationship Id="rId32" Type="http://schemas.openxmlformats.org/officeDocument/2006/relationships/hyperlink" Target="https://app.globetrack.co.ke/storage/monitoring_entries/1613452173.19.jpg" TargetMode="External"/><Relationship Id="rId37" Type="http://schemas.openxmlformats.org/officeDocument/2006/relationships/hyperlink" Target="https://www.capitalfm.co.ke/business/2021/02/uk-based-firm-to-acquire-stake-in-resolution-insurance/" TargetMode="External"/><Relationship Id="rId5" Type="http://schemas.openxmlformats.org/officeDocument/2006/relationships/image" Target="media/image2.emf"/><Relationship Id="rId15" Type="http://schemas.openxmlformats.org/officeDocument/2006/relationships/hyperlink" Target="https://app.globetrack.co.ke/storage/monitoring_entries/1613539757.13.jpg" TargetMode="External"/><Relationship Id="rId23" Type="http://schemas.openxmlformats.org/officeDocument/2006/relationships/image" Target="media/image7.jpeg"/><Relationship Id="rId28" Type="http://schemas.openxmlformats.org/officeDocument/2006/relationships/hyperlink" Target="https://app.globetrack.co.ke/storage/monitoring_entries/1613622334.12.jpg" TargetMode="External"/><Relationship Id="rId36" Type="http://schemas.openxmlformats.org/officeDocument/2006/relationships/hyperlink" Target="https://www.cnbcafrica.com/2021/aki-on-how-covid-19-has-impacted-kenyas-insurance-sector/" TargetMode="External"/><Relationship Id="rId10" Type="http://schemas.openxmlformats.org/officeDocument/2006/relationships/image" Target="cid:image025.png@01D706E8.63852B10" TargetMode="External"/><Relationship Id="rId19" Type="http://schemas.openxmlformats.org/officeDocument/2006/relationships/image" Target="cid:image027.jpg@01D706E8.63852B10" TargetMode="External"/><Relationship Id="rId31" Type="http://schemas.openxmlformats.org/officeDocument/2006/relationships/hyperlink" Target="https://app.globetrack.co.ke/storage/monitoring_entries/1613539927.16.jpg" TargetMode="External"/><Relationship Id="rId4" Type="http://schemas.openxmlformats.org/officeDocument/2006/relationships/image" Target="media/image1.emf"/><Relationship Id="rId9" Type="http://schemas.openxmlformats.org/officeDocument/2006/relationships/image" Target="media/image4.png"/><Relationship Id="rId14" Type="http://schemas.openxmlformats.org/officeDocument/2006/relationships/hyperlink" Target="https://app.globetrack.co.ke/storage/monitoring_entries/1613538704.13.jpg" TargetMode="External"/><Relationship Id="rId22" Type="http://schemas.openxmlformats.org/officeDocument/2006/relationships/hyperlink" Target="https://app.globetrack.co.ke/storage/monitoring_entries/1613711049.14.jpg" TargetMode="External"/><Relationship Id="rId27" Type="http://schemas.openxmlformats.org/officeDocument/2006/relationships/image" Target="cid:image029.jpg@01D706E8.63852B10" TargetMode="External"/><Relationship Id="rId30" Type="http://schemas.openxmlformats.org/officeDocument/2006/relationships/image" Target="cid:image030.jpg@01D706E8.63852B10" TargetMode="External"/><Relationship Id="rId35" Type="http://schemas.openxmlformats.org/officeDocument/2006/relationships/hyperlink" Target="https://www.businessdailyafrica.com/bd/opinion-analysis/ideas-debate/how-insurance-for-money-laundering-3293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 King'ori</dc:creator>
  <cp:keywords/>
  <dc:description/>
  <cp:lastModifiedBy>Hazel K. King'ori</cp:lastModifiedBy>
  <cp:revision>1</cp:revision>
  <dcterms:created xsi:type="dcterms:W3CDTF">2021-04-07T09:27:00Z</dcterms:created>
  <dcterms:modified xsi:type="dcterms:W3CDTF">2021-04-07T09:30:00Z</dcterms:modified>
</cp:coreProperties>
</file>